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sz w:val="36"/>
          <w:szCs w:val="36"/>
        </w:rPr>
      </w:pPr>
    </w:p>
    <w:p>
      <w:pPr>
        <w:rPr>
          <w:rFonts w:ascii="仿宋_GB2312" w:hAnsi="仿宋_GB2312" w:eastAsia="仿宋_GB2312" w:cs="仿宋_GB2312"/>
          <w:sz w:val="36"/>
          <w:szCs w:val="36"/>
        </w:rPr>
      </w:pPr>
    </w:p>
    <w:p>
      <w:pPr>
        <w:rPr>
          <w:rFonts w:ascii="仿宋_GB2312" w:hAnsi="仿宋_GB2312" w:eastAsia="仿宋_GB2312" w:cs="仿宋_GB2312"/>
          <w:sz w:val="36"/>
          <w:szCs w:val="36"/>
        </w:rPr>
      </w:pPr>
    </w:p>
    <w:p>
      <w:pPr>
        <w:adjustRightInd w:val="0"/>
        <w:snapToGrid w:val="0"/>
        <w:jc w:val="center"/>
        <w:outlineLvl w:val="9"/>
        <w:rPr>
          <w:rFonts w:ascii="方正小标宋_GBK" w:eastAsia="方正小标宋_GBK"/>
          <w:bCs/>
          <w:sz w:val="72"/>
          <w:szCs w:val="72"/>
        </w:rPr>
      </w:pPr>
      <w:r>
        <w:rPr>
          <w:rFonts w:hint="eastAsia" w:ascii="方正小标宋_GBK" w:eastAsia="方正小标宋_GBK"/>
          <w:bCs/>
          <w:sz w:val="72"/>
          <w:szCs w:val="72"/>
        </w:rPr>
        <w:t>建设项目环境影响报告表</w:t>
      </w:r>
    </w:p>
    <w:p>
      <w:pPr>
        <w:adjustRightInd w:val="0"/>
        <w:snapToGrid w:val="0"/>
        <w:spacing w:before="192" w:beforeLines="80"/>
        <w:jc w:val="center"/>
        <w:rPr>
          <w:rFonts w:ascii="楷体_GB2312" w:eastAsia="楷体_GB2312"/>
          <w:bCs/>
          <w:sz w:val="48"/>
          <w:szCs w:val="48"/>
        </w:rPr>
      </w:pPr>
      <w:r>
        <w:rPr>
          <w:rFonts w:hint="eastAsia" w:ascii="楷体_GB2312" w:eastAsia="楷体_GB2312"/>
          <w:bCs/>
          <w:sz w:val="48"/>
          <w:szCs w:val="48"/>
        </w:rPr>
        <w:t>（污染影响类）</w:t>
      </w:r>
    </w:p>
    <w:p>
      <w:pPr>
        <w:adjustRightInd w:val="0"/>
        <w:snapToGrid w:val="0"/>
        <w:spacing w:line="288" w:lineRule="auto"/>
        <w:jc w:val="center"/>
        <w:outlineLvl w:val="9"/>
        <w:rPr>
          <w:rFonts w:ascii="华文仿宋" w:hAnsi="华文仿宋" w:eastAsia="华文仿宋" w:cs="华文仿宋"/>
          <w:kern w:val="44"/>
          <w:sz w:val="44"/>
          <w:szCs w:val="44"/>
        </w:rPr>
      </w:pPr>
    </w:p>
    <w:p>
      <w:pPr>
        <w:pStyle w:val="2"/>
      </w:pPr>
    </w:p>
    <w:p>
      <w:pPr>
        <w:jc w:val="center"/>
        <w:rPr>
          <w:rFonts w:eastAsia="仿宋"/>
          <w:sz w:val="52"/>
          <w:szCs w:val="52"/>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adjustRightInd w:val="0"/>
        <w:snapToGrid w:val="0"/>
        <w:spacing w:line="288" w:lineRule="auto"/>
        <w:jc w:val="center"/>
        <w:rPr>
          <w:rFonts w:ascii="仿宋_GB2312" w:eastAsia="仿宋_GB2312"/>
          <w:sz w:val="36"/>
          <w:szCs w:val="36"/>
          <w:u w:val="single"/>
        </w:rPr>
      </w:pPr>
      <w:r>
        <w:rPr>
          <w:rFonts w:hint="eastAsia" w:ascii="仿宋_GB2312" w:eastAsia="仿宋_GB2312"/>
          <w:sz w:val="36"/>
          <w:szCs w:val="36"/>
          <w:lang w:val="en-US" w:eastAsia="zh-CN"/>
        </w:rPr>
        <w:t xml:space="preserve">  </w:t>
      </w:r>
      <w:r>
        <w:rPr>
          <w:rFonts w:hint="eastAsia" w:ascii="仿宋_GB2312" w:eastAsia="仿宋_GB2312"/>
          <w:sz w:val="36"/>
          <w:szCs w:val="36"/>
        </w:rPr>
        <w:t>项目名称：</w:t>
      </w:r>
      <w:r>
        <w:rPr>
          <w:rFonts w:hint="eastAsia" w:ascii="仿宋_GB2312" w:eastAsia="仿宋_GB2312"/>
          <w:sz w:val="36"/>
          <w:szCs w:val="36"/>
          <w:u w:val="single"/>
        </w:rPr>
        <w:t>年产约200万套高端消防装备及60万套消防水枪、接口及组件</w:t>
      </w:r>
    </w:p>
    <w:p>
      <w:pPr>
        <w:adjustRightInd w:val="0"/>
        <w:snapToGrid w:val="0"/>
        <w:spacing w:line="288" w:lineRule="auto"/>
        <w:ind w:firstLine="360" w:firstLineChars="100"/>
        <w:rPr>
          <w:rFonts w:hint="default" w:ascii="仿宋_GB2312" w:eastAsia="仿宋_GB2312"/>
          <w:sz w:val="36"/>
          <w:szCs w:val="36"/>
          <w:u w:val="single"/>
          <w:lang w:val="en-US" w:eastAsia="zh-CN"/>
        </w:rPr>
      </w:pPr>
      <w:r>
        <w:rPr>
          <w:rFonts w:hint="eastAsia" w:ascii="仿宋_GB2312" w:eastAsia="仿宋_GB2312"/>
          <w:sz w:val="36"/>
          <w:szCs w:val="36"/>
        </w:rPr>
        <w:t>建设单位（盖章）：</w:t>
      </w:r>
      <w:r>
        <w:rPr>
          <w:rFonts w:hint="eastAsia" w:ascii="仿宋_GB2312" w:eastAsia="仿宋_GB2312"/>
          <w:sz w:val="36"/>
          <w:szCs w:val="36"/>
          <w:u w:val="single"/>
          <w:lang w:val="en-US" w:eastAsia="zh-CN"/>
        </w:rPr>
        <w:t xml:space="preserve">  </w:t>
      </w:r>
      <w:r>
        <w:rPr>
          <w:rFonts w:hint="eastAsia" w:ascii="仿宋_GB2312" w:eastAsia="仿宋_GB2312"/>
          <w:sz w:val="36"/>
          <w:szCs w:val="36"/>
          <w:u w:val="single"/>
        </w:rPr>
        <w:t>江苏辰烜消防科技有限公司</w:t>
      </w:r>
      <w:r>
        <w:rPr>
          <w:rFonts w:hint="eastAsia" w:ascii="仿宋_GB2312" w:eastAsia="仿宋_GB2312"/>
          <w:sz w:val="36"/>
          <w:szCs w:val="36"/>
          <w:u w:val="single"/>
          <w:lang w:val="en-US" w:eastAsia="zh-CN"/>
        </w:rPr>
        <w:t xml:space="preserve">  </w:t>
      </w:r>
    </w:p>
    <w:p>
      <w:pPr>
        <w:adjustRightInd w:val="0"/>
        <w:snapToGrid w:val="0"/>
        <w:spacing w:line="288" w:lineRule="auto"/>
        <w:ind w:firstLine="360" w:firstLineChars="100"/>
        <w:rPr>
          <w:rFonts w:hint="default" w:ascii="仿宋_GB2312" w:eastAsia="仿宋_GB2312"/>
          <w:sz w:val="36"/>
          <w:szCs w:val="36"/>
          <w:u w:val="single"/>
          <w:lang w:val="en-US" w:eastAsia="zh-CN"/>
        </w:rPr>
      </w:pPr>
      <w:r>
        <w:rPr>
          <w:rFonts w:hint="eastAsia" w:ascii="仿宋_GB2312" w:eastAsia="仿宋_GB2312"/>
          <w:sz w:val="36"/>
          <w:szCs w:val="36"/>
        </w:rPr>
        <w:t>编制日期：</w:t>
      </w:r>
      <w:r>
        <w:rPr>
          <w:rFonts w:hint="eastAsia" w:ascii="仿宋_GB2312" w:eastAsia="仿宋_GB2312"/>
          <w:sz w:val="36"/>
          <w:szCs w:val="36"/>
          <w:u w:val="single"/>
          <w:lang w:val="en-US" w:eastAsia="zh-CN"/>
        </w:rPr>
        <w:t xml:space="preserve">             </w:t>
      </w:r>
      <w:r>
        <w:rPr>
          <w:rFonts w:hint="eastAsia" w:ascii="仿宋_GB2312" w:eastAsia="仿宋_GB2312"/>
          <w:sz w:val="36"/>
          <w:szCs w:val="36"/>
          <w:u w:val="single"/>
        </w:rPr>
        <w:t>2023年8月</w:t>
      </w:r>
      <w:r>
        <w:rPr>
          <w:rFonts w:hint="eastAsia" w:ascii="仿宋_GB2312" w:eastAsia="仿宋_GB2312"/>
          <w:sz w:val="36"/>
          <w:szCs w:val="36"/>
          <w:u w:val="single"/>
          <w:lang w:val="en-US" w:eastAsia="zh-CN"/>
        </w:rPr>
        <w:t xml:space="preserve">             </w:t>
      </w:r>
    </w:p>
    <w:p>
      <w:pPr>
        <w:adjustRightInd w:val="0"/>
        <w:snapToGrid w:val="0"/>
        <w:spacing w:line="288" w:lineRule="auto"/>
        <w:ind w:firstLine="1040"/>
        <w:rPr>
          <w:rFonts w:ascii="仿宋_GB2312" w:eastAsia="仿宋_GB2312"/>
          <w:sz w:val="36"/>
          <w:szCs w:val="36"/>
          <w:u w:val="single"/>
        </w:rPr>
      </w:pPr>
      <w:bookmarkStart w:id="0" w:name="_Hlk57884087"/>
    </w:p>
    <w:p>
      <w:pPr>
        <w:adjustRightInd w:val="0"/>
        <w:snapToGrid w:val="0"/>
        <w:spacing w:line="288" w:lineRule="auto"/>
        <w:ind w:firstLine="1040"/>
        <w:rPr>
          <w:rFonts w:ascii="仿宋_GB2312" w:eastAsia="仿宋_GB2312"/>
          <w:sz w:val="36"/>
          <w:szCs w:val="36"/>
        </w:rPr>
      </w:pPr>
    </w:p>
    <w:p>
      <w:pPr>
        <w:adjustRightInd w:val="0"/>
        <w:snapToGrid w:val="0"/>
        <w:spacing w:line="288" w:lineRule="auto"/>
        <w:rPr>
          <w:rFonts w:ascii="仿宋_GB2312" w:eastAsia="仿宋_GB2312"/>
          <w:sz w:val="36"/>
          <w:szCs w:val="36"/>
        </w:rPr>
      </w:pPr>
    </w:p>
    <w:bookmarkEnd w:id="0"/>
    <w:p>
      <w:pPr>
        <w:adjustRightInd w:val="0"/>
        <w:snapToGrid w:val="0"/>
        <w:spacing w:line="288" w:lineRule="auto"/>
        <w:rPr>
          <w:rFonts w:ascii="楷体_GB2312" w:eastAsia="楷体_GB2312"/>
          <w:sz w:val="36"/>
          <w:szCs w:val="36"/>
        </w:rPr>
      </w:pPr>
    </w:p>
    <w:p>
      <w:pPr>
        <w:adjustRightInd w:val="0"/>
        <w:snapToGrid w:val="0"/>
        <w:spacing w:line="288" w:lineRule="auto"/>
        <w:jc w:val="center"/>
        <w:rPr>
          <w:rFonts w:ascii="楷体_GB2312" w:eastAsia="楷体_GB2312"/>
          <w:sz w:val="36"/>
          <w:szCs w:val="36"/>
        </w:rPr>
      </w:pPr>
      <w:r>
        <w:rPr>
          <w:rFonts w:hint="eastAsia" w:ascii="楷体_GB2312" w:eastAsia="楷体_GB2312"/>
          <w:sz w:val="36"/>
          <w:szCs w:val="36"/>
        </w:rPr>
        <w:t>中华人民共和国生态环境部制</w:t>
      </w:r>
    </w:p>
    <w:p>
      <w:pPr>
        <w:adjustRightInd w:val="0"/>
        <w:snapToGrid w:val="0"/>
        <w:spacing w:line="288" w:lineRule="auto"/>
        <w:ind w:firstLine="1040"/>
        <w:rPr>
          <w:rFonts w:ascii="仿宋_GB2312" w:eastAsia="仿宋_GB2312"/>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pPr>
        <w:pStyle w:val="29"/>
        <w:adjustRightInd w:val="0"/>
        <w:snapToGrid w:val="0"/>
        <w:spacing w:before="0" w:beforeAutospacing="0" w:after="0" w:afterAutospacing="0"/>
        <w:outlineLvl w:val="0"/>
        <w:rPr>
          <w:rFonts w:ascii="黑体" w:hAnsi="黑体" w:eastAsia="黑体"/>
          <w:snapToGrid w:val="0"/>
          <w:sz w:val="30"/>
          <w:szCs w:val="30"/>
        </w:rPr>
      </w:pPr>
      <w:r>
        <w:rPr>
          <w:rFonts w:hint="eastAsia" w:ascii="黑体" w:hAnsi="黑体" w:eastAsia="黑体"/>
          <w:snapToGrid w:val="0"/>
          <w:sz w:val="30"/>
          <w:szCs w:val="30"/>
        </w:rPr>
        <w:t>一、建设项目基本情况</w:t>
      </w:r>
    </w:p>
    <w:tbl>
      <w:tblPr>
        <w:tblStyle w:val="33"/>
        <w:tblpPr w:leftFromText="181" w:rightFromText="181" w:bottomFromText="227" w:vertAnchor="text" w:tblpY="1"/>
        <w:tblOverlap w:val="never"/>
        <w:tblW w:w="897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10"/>
        <w:gridCol w:w="1472"/>
        <w:gridCol w:w="1637"/>
        <w:gridCol w:w="2119"/>
        <w:gridCol w:w="28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382" w:type="dxa"/>
            <w:gridSpan w:val="2"/>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建设项目名称</w:t>
            </w:r>
          </w:p>
        </w:tc>
        <w:tc>
          <w:tcPr>
            <w:tcW w:w="6591" w:type="dxa"/>
            <w:gridSpan w:val="3"/>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rFonts w:hint="eastAsia"/>
                <w:szCs w:val="21"/>
              </w:rPr>
              <w:t>年产约200万套高端消防装备及60万套消防水枪、接口及组件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382" w:type="dxa"/>
            <w:gridSpan w:val="2"/>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项目代码</w:t>
            </w:r>
          </w:p>
        </w:tc>
        <w:tc>
          <w:tcPr>
            <w:tcW w:w="6591" w:type="dxa"/>
            <w:gridSpan w:val="3"/>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rFonts w:hint="eastAsia"/>
                <w:szCs w:val="21"/>
              </w:rPr>
              <w:t>2208-321203-89-01-727717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382" w:type="dxa"/>
            <w:gridSpan w:val="2"/>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建设单位联系人</w:t>
            </w:r>
          </w:p>
        </w:tc>
        <w:tc>
          <w:tcPr>
            <w:tcW w:w="1637"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rFonts w:hint="eastAsia"/>
                <w:szCs w:val="21"/>
              </w:rPr>
              <w:t>赵平</w:t>
            </w:r>
          </w:p>
        </w:tc>
        <w:tc>
          <w:tcPr>
            <w:tcW w:w="2119"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联系方式</w:t>
            </w:r>
          </w:p>
        </w:tc>
        <w:tc>
          <w:tcPr>
            <w:tcW w:w="2835"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1330526289</w:t>
            </w:r>
            <w:r>
              <w:rPr>
                <w:rFonts w:hint="eastAsia"/>
                <w:szCs w:val="21"/>
              </w:rPr>
              <w:t>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382" w:type="dxa"/>
            <w:gridSpan w:val="2"/>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建设地点</w:t>
            </w:r>
          </w:p>
        </w:tc>
        <w:tc>
          <w:tcPr>
            <w:tcW w:w="6591" w:type="dxa"/>
            <w:gridSpan w:val="3"/>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rFonts w:hint="eastAsia"/>
                <w:szCs w:val="21"/>
              </w:rPr>
              <w:t>江苏省泰州市高港区永盛路5号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382" w:type="dxa"/>
            <w:gridSpan w:val="2"/>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地理坐标</w:t>
            </w:r>
          </w:p>
        </w:tc>
        <w:tc>
          <w:tcPr>
            <w:tcW w:w="6591" w:type="dxa"/>
            <w:gridSpan w:val="3"/>
            <w:vAlign w:val="center"/>
          </w:tcPr>
          <w:p>
            <w:pPr>
              <w:keepNext w:val="0"/>
              <w:keepLines w:val="0"/>
              <w:pageBreakBefore w:val="0"/>
              <w:kinsoku/>
              <w:wordWrap/>
              <w:overflowPunct/>
              <w:topLinePunct w:val="0"/>
              <w:autoSpaceDE/>
              <w:autoSpaceDN/>
              <w:bidi w:val="0"/>
              <w:jc w:val="center"/>
              <w:textAlignment w:val="auto"/>
              <w:rPr>
                <w:szCs w:val="21"/>
              </w:rPr>
            </w:pPr>
            <w:r>
              <w:rPr>
                <w:szCs w:val="21"/>
              </w:rPr>
              <w:t>（</w:t>
            </w:r>
            <w:r>
              <w:rPr>
                <w:rFonts w:hint="eastAsia"/>
                <w:szCs w:val="21"/>
                <w:u w:val="single"/>
              </w:rPr>
              <w:t>119</w:t>
            </w:r>
            <w:r>
              <w:rPr>
                <w:szCs w:val="21"/>
              </w:rPr>
              <w:t>度</w:t>
            </w:r>
            <w:r>
              <w:rPr>
                <w:rFonts w:hint="eastAsia"/>
                <w:szCs w:val="21"/>
                <w:u w:val="single"/>
              </w:rPr>
              <w:t>55</w:t>
            </w:r>
            <w:r>
              <w:rPr>
                <w:szCs w:val="21"/>
              </w:rPr>
              <w:t>分</w:t>
            </w:r>
            <w:r>
              <w:rPr>
                <w:rFonts w:hint="eastAsia"/>
                <w:szCs w:val="21"/>
                <w:u w:val="single"/>
              </w:rPr>
              <w:t>19.526</w:t>
            </w:r>
            <w:r>
              <w:rPr>
                <w:szCs w:val="21"/>
              </w:rPr>
              <w:t>秒，</w:t>
            </w:r>
            <w:r>
              <w:rPr>
                <w:rFonts w:hint="eastAsia"/>
                <w:szCs w:val="21"/>
                <w:u w:val="single"/>
              </w:rPr>
              <w:t>32</w:t>
            </w:r>
            <w:r>
              <w:rPr>
                <w:szCs w:val="21"/>
              </w:rPr>
              <w:t>度</w:t>
            </w:r>
            <w:r>
              <w:rPr>
                <w:rFonts w:hint="eastAsia"/>
                <w:szCs w:val="21"/>
                <w:u w:val="single"/>
              </w:rPr>
              <w:t>21</w:t>
            </w:r>
            <w:r>
              <w:rPr>
                <w:szCs w:val="21"/>
              </w:rPr>
              <w:t>分</w:t>
            </w:r>
            <w:r>
              <w:rPr>
                <w:rFonts w:hint="eastAsia"/>
                <w:szCs w:val="21"/>
                <w:u w:val="single"/>
              </w:rPr>
              <w:t>6.313</w:t>
            </w:r>
            <w:r>
              <w:rPr>
                <w:szCs w:val="21"/>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75" w:hRule="atLeast"/>
        </w:trPr>
        <w:tc>
          <w:tcPr>
            <w:tcW w:w="2382" w:type="dxa"/>
            <w:gridSpan w:val="2"/>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国民经济</w:t>
            </w:r>
          </w:p>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行业类别</w:t>
            </w:r>
          </w:p>
        </w:tc>
        <w:tc>
          <w:tcPr>
            <w:tcW w:w="1637"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rFonts w:hint="eastAsia"/>
                <w:szCs w:val="21"/>
              </w:rPr>
              <w:t>〔C3595〕社会公共安全设备及器材制造</w:t>
            </w:r>
          </w:p>
        </w:tc>
        <w:tc>
          <w:tcPr>
            <w:tcW w:w="2119"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bookmarkStart w:id="1" w:name="_Hlk49843745"/>
            <w:r>
              <w:rPr>
                <w:color w:val="000000" w:themeColor="text1"/>
                <w:szCs w:val="21"/>
                <w14:textFill>
                  <w14:solidFill>
                    <w14:schemeClr w14:val="tx1"/>
                  </w14:solidFill>
                </w14:textFill>
              </w:rPr>
              <w:t>建设项目</w:t>
            </w:r>
          </w:p>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行业类别</w:t>
            </w:r>
            <w:bookmarkEnd w:id="1"/>
          </w:p>
        </w:tc>
        <w:tc>
          <w:tcPr>
            <w:tcW w:w="2835" w:type="dxa"/>
            <w:vAlign w:val="center"/>
          </w:tcPr>
          <w:p>
            <w:pPr>
              <w:pStyle w:val="60"/>
              <w:keepNext w:val="0"/>
              <w:keepLines w:val="0"/>
              <w:pageBreakBefore w:val="0"/>
              <w:kinsoku/>
              <w:wordWrap/>
              <w:overflowPunct/>
              <w:topLinePunct w:val="0"/>
              <w:autoSpaceDE/>
              <w:autoSpaceDN/>
              <w:bidi w:val="0"/>
              <w:spacing w:before="18"/>
              <w:ind w:left="55" w:right="38"/>
              <w:jc w:val="center"/>
              <w:textAlignment w:val="auto"/>
              <w:rPr>
                <w:rFonts w:ascii="Times New Roman" w:hAnsi="Times New Roman" w:cs="Times New Roman"/>
                <w:color w:val="000000" w:themeColor="text1"/>
                <w:szCs w:val="21"/>
                <w:lang w:val="en-US"/>
                <w14:textFill>
                  <w14:solidFill>
                    <w14:schemeClr w14:val="tx1"/>
                  </w14:solidFill>
                </w14:textFill>
              </w:rPr>
            </w:pPr>
            <w:r>
              <w:rPr>
                <w:rFonts w:hint="eastAsia" w:ascii="Times New Roman" w:hAnsi="Times New Roman" w:cs="Times New Roman"/>
                <w:snapToGrid w:val="0"/>
                <w:color w:val="000000" w:themeColor="text1"/>
                <w:kern w:val="0"/>
                <w:szCs w:val="21"/>
                <w:lang w:val="en-US"/>
                <w14:textFill>
                  <w14:solidFill>
                    <w14:schemeClr w14:val="tx1"/>
                  </w14:solidFill>
                </w14:textFill>
              </w:rPr>
              <w:t>三十二</w:t>
            </w:r>
            <w:r>
              <w:rPr>
                <w:rFonts w:ascii="Times New Roman" w:hAnsi="Times New Roman" w:cs="Times New Roman"/>
                <w:snapToGrid w:val="0"/>
                <w:color w:val="000000" w:themeColor="text1"/>
                <w:kern w:val="0"/>
                <w:szCs w:val="21"/>
                <w14:textFill>
                  <w14:solidFill>
                    <w14:schemeClr w14:val="tx1"/>
                  </w14:solidFill>
                </w14:textFill>
              </w:rPr>
              <w:t>、</w:t>
            </w:r>
            <w:r>
              <w:rPr>
                <w:rFonts w:hint="eastAsia" w:ascii="Times New Roman" w:hAnsi="Times New Roman" w:cs="Times New Roman"/>
                <w:snapToGrid w:val="0"/>
                <w:color w:val="000000" w:themeColor="text1"/>
                <w:kern w:val="0"/>
                <w:szCs w:val="21"/>
                <w:lang w:val="en-US"/>
                <w14:textFill>
                  <w14:solidFill>
                    <w14:schemeClr w14:val="tx1"/>
                  </w14:solidFill>
                </w14:textFill>
              </w:rPr>
              <w:t>专用设备制造业35中</w:t>
            </w:r>
            <w:r>
              <w:rPr>
                <w:rFonts w:hint="eastAsia" w:ascii="Times New Roman" w:hAnsi="Times New Roman" w:cs="Times New Roman"/>
                <w:snapToGrid w:val="0"/>
                <w:color w:val="000000" w:themeColor="text1"/>
                <w:kern w:val="0"/>
                <w:szCs w:val="21"/>
                <w:lang w:val="en-US" w:eastAsia="zh-CN"/>
                <w14:textFill>
                  <w14:solidFill>
                    <w14:schemeClr w14:val="tx1"/>
                  </w14:solidFill>
                </w14:textFill>
              </w:rPr>
              <w:t>“</w:t>
            </w:r>
            <w:r>
              <w:rPr>
                <w:rFonts w:hint="eastAsia" w:ascii="Times New Roman" w:hAnsi="Times New Roman" w:cs="Times New Roman"/>
                <w:snapToGrid w:val="0"/>
                <w:color w:val="000000" w:themeColor="text1"/>
                <w:kern w:val="0"/>
                <w:szCs w:val="21"/>
                <w:lang w:val="en-US"/>
                <w14:textFill>
                  <w14:solidFill>
                    <w14:schemeClr w14:val="tx1"/>
                  </w14:solidFill>
                </w14:textFill>
              </w:rPr>
              <w:t>359环保、邮政、社会公共服务及其他专用设备制造</w:t>
            </w:r>
            <w:r>
              <w:rPr>
                <w:rFonts w:hint="eastAsia" w:ascii="Times New Roman" w:hAnsi="Times New Roman" w:cs="Times New Roman"/>
                <w:snapToGrid w:val="0"/>
                <w:color w:val="000000" w:themeColor="text1"/>
                <w:kern w:val="0"/>
                <w:szCs w:val="21"/>
                <w:lang w:val="en-US" w:eastAsia="zh-CN"/>
                <w14:textFill>
                  <w14:solidFill>
                    <w14:schemeClr w14:val="tx1"/>
                  </w14:solidFill>
                </w14:textFill>
              </w:rPr>
              <w:t>”</w:t>
            </w:r>
            <w:r>
              <w:rPr>
                <w:rFonts w:hint="eastAsia" w:ascii="Times New Roman" w:hAnsi="Times New Roman" w:cs="Times New Roman"/>
                <w:snapToGrid w:val="0"/>
                <w:color w:val="000000" w:themeColor="text1"/>
                <w:kern w:val="0"/>
                <w:szCs w:val="21"/>
                <w:lang w:val="en-US"/>
                <w14:textFill>
                  <w14:solidFill>
                    <w14:schemeClr w14:val="tx1"/>
                  </w14:solidFill>
                </w14:textFill>
              </w:rPr>
              <w:t>中其他（仅分割、焊接、组装的除外；年用非溶剂型低VOCs含量涂料10吨以下的除外）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trPr>
        <w:tc>
          <w:tcPr>
            <w:tcW w:w="2382" w:type="dxa"/>
            <w:gridSpan w:val="2"/>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建设性质</w:t>
            </w:r>
          </w:p>
        </w:tc>
        <w:tc>
          <w:tcPr>
            <w:tcW w:w="1637" w:type="dxa"/>
            <w:vAlign w:val="center"/>
          </w:tcPr>
          <w:p>
            <w:pPr>
              <w:keepNext w:val="0"/>
              <w:keepLines w:val="0"/>
              <w:pageBreakBefore w:val="0"/>
              <w:kinsoku/>
              <w:wordWrap/>
              <w:overflowPunct/>
              <w:topLinePunct w:val="0"/>
              <w:autoSpaceDE/>
              <w:autoSpaceDN/>
              <w:bidi w:val="0"/>
              <w:jc w:val="left"/>
              <w:textAlignment w:val="auto"/>
              <w:rPr>
                <w:szCs w:val="21"/>
              </w:rPr>
            </w:pPr>
            <w:r>
              <w:rPr>
                <w:rFonts w:hint="eastAsia"/>
                <w:szCs w:val="21"/>
              </w:rPr>
              <w:t>☑</w:t>
            </w:r>
            <w:r>
              <w:rPr>
                <w:szCs w:val="21"/>
              </w:rPr>
              <w:t>新建（迁建）</w:t>
            </w:r>
          </w:p>
          <w:p>
            <w:pPr>
              <w:keepNext w:val="0"/>
              <w:keepLines w:val="0"/>
              <w:pageBreakBefore w:val="0"/>
              <w:kinsoku/>
              <w:wordWrap/>
              <w:overflowPunct/>
              <w:topLinePunct w:val="0"/>
              <w:autoSpaceDE/>
              <w:autoSpaceDN/>
              <w:bidi w:val="0"/>
              <w:jc w:val="left"/>
              <w:textAlignment w:val="auto"/>
              <w:rPr>
                <w:szCs w:val="21"/>
              </w:rPr>
            </w:pPr>
            <w:r>
              <w:rPr>
                <w:rFonts w:hint="eastAsia"/>
                <w:szCs w:val="21"/>
              </w:rPr>
              <w:t>□</w:t>
            </w:r>
            <w:r>
              <w:rPr>
                <w:szCs w:val="21"/>
              </w:rPr>
              <w:t>改建</w:t>
            </w:r>
          </w:p>
          <w:p>
            <w:pPr>
              <w:keepNext w:val="0"/>
              <w:keepLines w:val="0"/>
              <w:pageBreakBefore w:val="0"/>
              <w:kinsoku/>
              <w:wordWrap/>
              <w:overflowPunct/>
              <w:topLinePunct w:val="0"/>
              <w:autoSpaceDE/>
              <w:autoSpaceDN/>
              <w:bidi w:val="0"/>
              <w:jc w:val="left"/>
              <w:textAlignment w:val="auto"/>
              <w:rPr>
                <w:szCs w:val="21"/>
              </w:rPr>
            </w:pPr>
            <w:r>
              <w:rPr>
                <w:rFonts w:hint="eastAsia"/>
                <w:szCs w:val="21"/>
              </w:rPr>
              <w:t>□</w:t>
            </w:r>
            <w:r>
              <w:rPr>
                <w:szCs w:val="21"/>
              </w:rPr>
              <w:t>扩建</w:t>
            </w:r>
          </w:p>
          <w:p>
            <w:pPr>
              <w:keepNext w:val="0"/>
              <w:keepLines w:val="0"/>
              <w:pageBreakBefore w:val="0"/>
              <w:kinsoku/>
              <w:wordWrap/>
              <w:overflowPunct/>
              <w:topLinePunct w:val="0"/>
              <w:autoSpaceDE/>
              <w:autoSpaceDN/>
              <w:bidi w:val="0"/>
              <w:jc w:val="left"/>
              <w:textAlignment w:val="auto"/>
              <w:rPr>
                <w:szCs w:val="21"/>
              </w:rPr>
            </w:pPr>
            <w:r>
              <w:rPr>
                <w:rFonts w:hint="eastAsia"/>
                <w:szCs w:val="21"/>
              </w:rPr>
              <w:t>□</w:t>
            </w:r>
            <w:r>
              <w:rPr>
                <w:szCs w:val="21"/>
              </w:rPr>
              <w:t>技术改造</w:t>
            </w:r>
          </w:p>
        </w:tc>
        <w:tc>
          <w:tcPr>
            <w:tcW w:w="2119"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建设项目</w:t>
            </w:r>
          </w:p>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申报情形</w:t>
            </w:r>
          </w:p>
        </w:tc>
        <w:tc>
          <w:tcPr>
            <w:tcW w:w="2835" w:type="dxa"/>
            <w:vAlign w:val="center"/>
          </w:tcPr>
          <w:p>
            <w:pPr>
              <w:keepNext w:val="0"/>
              <w:keepLines w:val="0"/>
              <w:pageBreakBefore w:val="0"/>
              <w:kinsoku/>
              <w:wordWrap/>
              <w:overflowPunct/>
              <w:topLinePunct w:val="0"/>
              <w:autoSpaceDE/>
              <w:autoSpaceDN/>
              <w:bidi w:val="0"/>
              <w:jc w:val="left"/>
              <w:textAlignment w:val="auto"/>
              <w:rPr>
                <w:szCs w:val="21"/>
              </w:rPr>
            </w:pPr>
            <w:r>
              <w:rPr>
                <w:rFonts w:hint="eastAsia"/>
                <w:szCs w:val="21"/>
              </w:rPr>
              <w:t>☑</w:t>
            </w:r>
            <w:r>
              <w:rPr>
                <w:szCs w:val="21"/>
              </w:rPr>
              <w:t>首次申报项目</w:t>
            </w:r>
          </w:p>
          <w:p>
            <w:pPr>
              <w:keepNext w:val="0"/>
              <w:keepLines w:val="0"/>
              <w:pageBreakBefore w:val="0"/>
              <w:kinsoku/>
              <w:wordWrap/>
              <w:overflowPunct/>
              <w:topLinePunct w:val="0"/>
              <w:autoSpaceDE/>
              <w:autoSpaceDN/>
              <w:bidi w:val="0"/>
              <w:jc w:val="left"/>
              <w:textAlignment w:val="auto"/>
              <w:rPr>
                <w:szCs w:val="21"/>
              </w:rPr>
            </w:pPr>
            <w:r>
              <w:rPr>
                <w:szCs w:val="21"/>
              </w:rPr>
              <w:t>□不予批准后再次申报项目</w:t>
            </w:r>
          </w:p>
          <w:p>
            <w:pPr>
              <w:keepNext w:val="0"/>
              <w:keepLines w:val="0"/>
              <w:pageBreakBefore w:val="0"/>
              <w:kinsoku/>
              <w:wordWrap/>
              <w:overflowPunct/>
              <w:topLinePunct w:val="0"/>
              <w:autoSpaceDE/>
              <w:autoSpaceDN/>
              <w:bidi w:val="0"/>
              <w:jc w:val="left"/>
              <w:textAlignment w:val="auto"/>
              <w:rPr>
                <w:szCs w:val="21"/>
              </w:rPr>
            </w:pPr>
            <w:r>
              <w:rPr>
                <w:szCs w:val="21"/>
              </w:rPr>
              <w:t>□超五年重新审核项目</w:t>
            </w:r>
          </w:p>
          <w:p>
            <w:pPr>
              <w:keepNext w:val="0"/>
              <w:keepLines w:val="0"/>
              <w:pageBreakBefore w:val="0"/>
              <w:kinsoku/>
              <w:wordWrap/>
              <w:overflowPunct/>
              <w:topLinePunct w:val="0"/>
              <w:autoSpaceDE/>
              <w:autoSpaceDN/>
              <w:bidi w:val="0"/>
              <w:jc w:val="left"/>
              <w:textAlignment w:val="auto"/>
              <w:rPr>
                <w:szCs w:val="21"/>
              </w:rPr>
            </w:pPr>
            <w:r>
              <w:rPr>
                <w:szCs w:val="21"/>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2382" w:type="dxa"/>
            <w:gridSpan w:val="2"/>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项目审批（核准/</w:t>
            </w:r>
          </w:p>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备案）部门（选填）</w:t>
            </w:r>
          </w:p>
        </w:tc>
        <w:tc>
          <w:tcPr>
            <w:tcW w:w="1637"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rFonts w:hint="eastAsia"/>
                <w:szCs w:val="21"/>
              </w:rPr>
              <w:t>泰州医药高新技术产业开发区（泰州市高港区）行政审批局</w:t>
            </w:r>
          </w:p>
        </w:tc>
        <w:tc>
          <w:tcPr>
            <w:tcW w:w="2119"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项目审批（核准/</w:t>
            </w:r>
          </w:p>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备案）文号（选填）</w:t>
            </w:r>
          </w:p>
        </w:tc>
        <w:tc>
          <w:tcPr>
            <w:tcW w:w="2835"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rFonts w:hint="eastAsia"/>
                <w:szCs w:val="21"/>
              </w:rPr>
              <w:t>泰高新行审备〔2023〕366号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382" w:type="dxa"/>
            <w:gridSpan w:val="2"/>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总投资（万元）</w:t>
            </w:r>
          </w:p>
        </w:tc>
        <w:tc>
          <w:tcPr>
            <w:tcW w:w="1637"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rFonts w:hint="eastAsia"/>
                <w:szCs w:val="21"/>
              </w:rPr>
              <w:t>63000</w:t>
            </w:r>
          </w:p>
        </w:tc>
        <w:tc>
          <w:tcPr>
            <w:tcW w:w="2119" w:type="dxa"/>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环保投资（万元）</w:t>
            </w:r>
          </w:p>
        </w:tc>
        <w:tc>
          <w:tcPr>
            <w:tcW w:w="2835"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rFonts w:hint="eastAsia"/>
                <w:szCs w:val="21"/>
              </w:rPr>
              <w:t>200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382" w:type="dxa"/>
            <w:gridSpan w:val="2"/>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环保投资占比（%）</w:t>
            </w:r>
          </w:p>
        </w:tc>
        <w:tc>
          <w:tcPr>
            <w:tcW w:w="1637"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rFonts w:hint="eastAsia"/>
                <w:szCs w:val="21"/>
              </w:rPr>
              <w:t>0.32</w:t>
            </w:r>
          </w:p>
        </w:tc>
        <w:tc>
          <w:tcPr>
            <w:tcW w:w="2119" w:type="dxa"/>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施工工期</w:t>
            </w:r>
          </w:p>
        </w:tc>
        <w:tc>
          <w:tcPr>
            <w:tcW w:w="2835"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rFonts w:hint="eastAsia"/>
                <w:szCs w:val="21"/>
              </w:rPr>
              <w:t>6个月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382" w:type="dxa"/>
            <w:gridSpan w:val="2"/>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是否开工建设</w:t>
            </w:r>
          </w:p>
        </w:tc>
        <w:tc>
          <w:tcPr>
            <w:tcW w:w="1637" w:type="dxa"/>
            <w:vAlign w:val="center"/>
          </w:tcPr>
          <w:p>
            <w:pPr>
              <w:keepNext w:val="0"/>
              <w:keepLines w:val="0"/>
              <w:pageBreakBefore w:val="0"/>
              <w:kinsoku/>
              <w:wordWrap/>
              <w:overflowPunct/>
              <w:topLinePunct w:val="0"/>
              <w:autoSpaceDE/>
              <w:autoSpaceDN/>
              <w:bidi w:val="0"/>
              <w:adjustRightInd w:val="0"/>
              <w:snapToGrid w:val="0"/>
              <w:textAlignment w:val="auto"/>
              <w:rPr>
                <w:szCs w:val="21"/>
              </w:rPr>
            </w:pPr>
            <w:r>
              <w:rPr>
                <w:rFonts w:hint="eastAsia"/>
                <w:szCs w:val="21"/>
              </w:rPr>
              <w:t>☑</w:t>
            </w:r>
            <w:r>
              <w:rPr>
                <w:szCs w:val="21"/>
              </w:rPr>
              <w:t>否</w:t>
            </w:r>
          </w:p>
          <w:p>
            <w:pPr>
              <w:keepNext w:val="0"/>
              <w:keepLines w:val="0"/>
              <w:pageBreakBefore w:val="0"/>
              <w:kinsoku/>
              <w:wordWrap/>
              <w:overflowPunct/>
              <w:topLinePunct w:val="0"/>
              <w:autoSpaceDE/>
              <w:autoSpaceDN/>
              <w:bidi w:val="0"/>
              <w:textAlignment w:val="auto"/>
              <w:rPr>
                <w:szCs w:val="21"/>
              </w:rPr>
            </w:pPr>
            <w:r>
              <w:rPr>
                <w:rFonts w:hint="eastAsia"/>
                <w:szCs w:val="21"/>
              </w:rPr>
              <w:t>□</w:t>
            </w:r>
            <w:r>
              <w:rPr>
                <w:szCs w:val="21"/>
              </w:rPr>
              <w:t>是：</w:t>
            </w:r>
          </w:p>
        </w:tc>
        <w:tc>
          <w:tcPr>
            <w:tcW w:w="2119" w:type="dxa"/>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jc w:val="center"/>
              <w:textAlignment w:val="auto"/>
              <w:rPr>
                <w:spacing w:val="-6"/>
                <w:szCs w:val="21"/>
              </w:rPr>
            </w:pPr>
            <w:r>
              <w:rPr>
                <w:spacing w:val="-6"/>
                <w:szCs w:val="21"/>
              </w:rPr>
              <w:t>用地（用海）</w:t>
            </w:r>
          </w:p>
          <w:p>
            <w:pPr>
              <w:keepNext w:val="0"/>
              <w:keepLines w:val="0"/>
              <w:pageBreakBefore w:val="0"/>
              <w:kinsoku/>
              <w:wordWrap/>
              <w:overflowPunct/>
              <w:topLinePunct w:val="0"/>
              <w:autoSpaceDE/>
              <w:autoSpaceDN/>
              <w:bidi w:val="0"/>
              <w:adjustRightInd w:val="0"/>
              <w:snapToGrid w:val="0"/>
              <w:jc w:val="center"/>
              <w:textAlignment w:val="auto"/>
              <w:rPr>
                <w:szCs w:val="21"/>
              </w:rPr>
            </w:pPr>
            <w:r>
              <w:rPr>
                <w:spacing w:val="-6"/>
                <w:szCs w:val="21"/>
              </w:rPr>
              <w:t>面积（m</w:t>
            </w:r>
            <w:r>
              <w:rPr>
                <w:spacing w:val="-6"/>
                <w:szCs w:val="21"/>
                <w:vertAlign w:val="superscript"/>
              </w:rPr>
              <w:t>2</w:t>
            </w:r>
            <w:r>
              <w:rPr>
                <w:spacing w:val="-6"/>
                <w:szCs w:val="21"/>
              </w:rPr>
              <w:t>）</w:t>
            </w:r>
          </w:p>
        </w:tc>
        <w:tc>
          <w:tcPr>
            <w:tcW w:w="2835"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rFonts w:hint="eastAsia"/>
                <w:szCs w:val="21"/>
              </w:rPr>
              <w:t>50000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2382" w:type="dxa"/>
            <w:gridSpan w:val="2"/>
            <w:vAlign w:val="center"/>
          </w:tcPr>
          <w:p>
            <w:pPr>
              <w:keepNext w:val="0"/>
              <w:keepLines w:val="0"/>
              <w:pageBreakBefore w:val="0"/>
              <w:kinsoku/>
              <w:wordWrap/>
              <w:overflowPunct/>
              <w:topLinePunct w:val="0"/>
              <w:autoSpaceDE/>
              <w:autoSpaceDN/>
              <w:bidi w:val="0"/>
              <w:adjustRightInd w:val="0"/>
              <w:snapToGrid w:val="0"/>
              <w:jc w:val="center"/>
              <w:textAlignment w:val="auto"/>
              <w:rPr>
                <w:kern w:val="0"/>
                <w:szCs w:val="21"/>
              </w:rPr>
            </w:pPr>
            <w:r>
              <w:rPr>
                <w:kern w:val="0"/>
                <w:szCs w:val="21"/>
              </w:rPr>
              <w:t>专项评价设置情况</w:t>
            </w:r>
          </w:p>
        </w:tc>
        <w:tc>
          <w:tcPr>
            <w:tcW w:w="6591" w:type="dxa"/>
            <w:gridSpan w:val="3"/>
            <w:vAlign w:val="center"/>
          </w:tcPr>
          <w:p>
            <w:pPr>
              <w:keepNext w:val="0"/>
              <w:keepLines w:val="0"/>
              <w:pageBreakBefore w:val="0"/>
              <w:kinsoku/>
              <w:wordWrap/>
              <w:overflowPunct/>
              <w:topLinePunct w:val="0"/>
              <w:autoSpaceDE/>
              <w:autoSpaceDN/>
              <w:bidi w:val="0"/>
              <w:adjustRightInd w:val="0"/>
              <w:snapToGrid w:val="0"/>
              <w:jc w:val="center"/>
              <w:textAlignment w:val="auto"/>
              <w:rPr>
                <w:kern w:val="0"/>
                <w:szCs w:val="21"/>
              </w:rPr>
            </w:pPr>
            <w:r>
              <w:rPr>
                <w:rFonts w:hint="eastAsia"/>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910" w:type="dxa"/>
            <w:vAlign w:val="center"/>
          </w:tcPr>
          <w:p>
            <w:pPr>
              <w:keepNext w:val="0"/>
              <w:keepLines w:val="0"/>
              <w:pageBreakBefore w:val="0"/>
              <w:kinsoku/>
              <w:wordWrap/>
              <w:overflowPunct/>
              <w:topLinePunct w:val="0"/>
              <w:autoSpaceDE/>
              <w:autoSpaceDN/>
              <w:bidi w:val="0"/>
              <w:adjustRightInd w:val="0"/>
              <w:snapToGrid w:val="0"/>
              <w:jc w:val="center"/>
              <w:textAlignment w:val="auto"/>
              <w:rPr>
                <w:kern w:val="0"/>
                <w:szCs w:val="21"/>
              </w:rPr>
            </w:pPr>
            <w:r>
              <w:rPr>
                <w:rFonts w:hint="eastAsia"/>
                <w:kern w:val="0"/>
                <w:szCs w:val="21"/>
              </w:rPr>
              <w:t>规划情况</w:t>
            </w:r>
          </w:p>
        </w:tc>
        <w:tc>
          <w:tcPr>
            <w:tcW w:w="8063" w:type="dxa"/>
            <w:gridSpan w:val="4"/>
            <w:vAlign w:val="center"/>
          </w:tcPr>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snapToGrid/>
                <w:color w:val="000000"/>
                <w:kern w:val="2"/>
                <w:sz w:val="24"/>
                <w:lang w:bidi="ar"/>
              </w:rPr>
            </w:pPr>
            <w:r>
              <w:rPr>
                <w:snapToGrid/>
                <w:color w:val="000000"/>
                <w:kern w:val="2"/>
                <w:sz w:val="24"/>
                <w:lang w:bidi="ar"/>
              </w:rPr>
              <w:t>1</w:t>
            </w:r>
            <w:r>
              <w:rPr>
                <w:rFonts w:hint="eastAsia"/>
                <w:snapToGrid/>
                <w:color w:val="000000"/>
                <w:kern w:val="2"/>
                <w:sz w:val="24"/>
                <w:lang w:bidi="ar"/>
              </w:rPr>
              <w:t>、《高港高新技术产业园区总体规划（</w:t>
            </w:r>
            <w:r>
              <w:rPr>
                <w:snapToGrid/>
                <w:color w:val="000000"/>
                <w:kern w:val="2"/>
                <w:sz w:val="24"/>
                <w:lang w:bidi="ar"/>
              </w:rPr>
              <w:t>2016-2020</w:t>
            </w:r>
            <w:r>
              <w:rPr>
                <w:rFonts w:hint="eastAsia"/>
                <w:snapToGrid/>
                <w:color w:val="000000"/>
                <w:kern w:val="2"/>
                <w:sz w:val="24"/>
                <w:lang w:bidi="ar"/>
              </w:rPr>
              <w:t>）》</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snapToGrid/>
                <w:color w:val="000000"/>
                <w:kern w:val="2"/>
                <w:sz w:val="24"/>
                <w:lang w:bidi="ar"/>
              </w:rPr>
            </w:pPr>
            <w:r>
              <w:rPr>
                <w:snapToGrid/>
                <w:color w:val="000000"/>
                <w:kern w:val="2"/>
                <w:sz w:val="24"/>
                <w:lang w:bidi="ar"/>
              </w:rPr>
              <w:t>2011</w:t>
            </w:r>
            <w:r>
              <w:rPr>
                <w:rFonts w:hint="eastAsia"/>
                <w:snapToGrid/>
                <w:color w:val="000000"/>
                <w:kern w:val="2"/>
                <w:sz w:val="24"/>
                <w:lang w:bidi="ar"/>
              </w:rPr>
              <w:t>年泰州市人民政府批复设立《高港高新技术产业园总体规划</w:t>
            </w:r>
            <w:r>
              <w:rPr>
                <w:rFonts w:hint="eastAsia"/>
                <w:snapToGrid/>
                <w:color w:val="0000FF"/>
                <w:kern w:val="2"/>
                <w:sz w:val="24"/>
                <w:lang w:eastAsia="zh-CN" w:bidi="ar"/>
              </w:rPr>
              <w:t>（</w:t>
            </w:r>
            <w:r>
              <w:rPr>
                <w:snapToGrid/>
                <w:color w:val="000000"/>
                <w:kern w:val="2"/>
                <w:sz w:val="24"/>
                <w:lang w:bidi="ar"/>
              </w:rPr>
              <w:t>2010~2020</w:t>
            </w:r>
            <w:r>
              <w:rPr>
                <w:rFonts w:hint="eastAsia"/>
                <w:snapToGrid/>
                <w:color w:val="0000FF"/>
                <w:kern w:val="2"/>
                <w:sz w:val="24"/>
                <w:lang w:eastAsia="zh-CN" w:bidi="ar"/>
              </w:rPr>
              <w:t>）</w:t>
            </w:r>
            <w:r>
              <w:rPr>
                <w:rFonts w:hint="eastAsia"/>
                <w:snapToGrid/>
                <w:color w:val="000000"/>
                <w:kern w:val="2"/>
                <w:sz w:val="24"/>
                <w:lang w:bidi="ar"/>
              </w:rPr>
              <w:t>》，审批文件名称及文号为《关于同意高港高新技术产业园总体规划</w:t>
            </w:r>
            <w:r>
              <w:rPr>
                <w:rFonts w:hint="eastAsia"/>
                <w:snapToGrid/>
                <w:color w:val="0000FF"/>
                <w:kern w:val="2"/>
                <w:sz w:val="24"/>
                <w:lang w:eastAsia="zh-CN" w:bidi="ar"/>
              </w:rPr>
              <w:t>（</w:t>
            </w:r>
            <w:r>
              <w:rPr>
                <w:snapToGrid/>
                <w:color w:val="000000"/>
                <w:kern w:val="2"/>
                <w:sz w:val="24"/>
                <w:lang w:bidi="ar"/>
              </w:rPr>
              <w:t>2010~2020</w:t>
            </w:r>
            <w:r>
              <w:rPr>
                <w:rFonts w:hint="eastAsia"/>
                <w:snapToGrid/>
                <w:color w:val="0000FF"/>
                <w:kern w:val="2"/>
                <w:sz w:val="24"/>
                <w:lang w:eastAsia="zh-CN" w:bidi="ar"/>
              </w:rPr>
              <w:t>）</w:t>
            </w:r>
            <w:r>
              <w:rPr>
                <w:rFonts w:hint="eastAsia"/>
                <w:snapToGrid/>
                <w:color w:val="000000"/>
                <w:kern w:val="2"/>
                <w:sz w:val="24"/>
                <w:lang w:bidi="ar"/>
              </w:rPr>
              <w:t>的批复》（泰政复</w:t>
            </w:r>
            <w:r>
              <w:rPr>
                <w:rFonts w:hint="eastAsia"/>
                <w:snapToGrid/>
                <w:color w:val="0000FF"/>
                <w:kern w:val="2"/>
                <w:sz w:val="24"/>
                <w:lang w:bidi="ar"/>
              </w:rPr>
              <w:t>〔</w:t>
            </w:r>
            <w:r>
              <w:rPr>
                <w:rFonts w:hint="eastAsia"/>
                <w:snapToGrid/>
                <w:color w:val="000000"/>
                <w:kern w:val="2"/>
                <w:sz w:val="24"/>
                <w:lang w:val="en-US" w:eastAsia="zh-CN" w:bidi="ar"/>
              </w:rPr>
              <w:t>2011</w:t>
            </w:r>
            <w:r>
              <w:rPr>
                <w:rFonts w:hint="eastAsia"/>
                <w:snapToGrid/>
                <w:color w:val="0000FF"/>
                <w:kern w:val="2"/>
                <w:sz w:val="24"/>
                <w:lang w:bidi="ar"/>
              </w:rPr>
              <w:t>〕</w:t>
            </w:r>
            <w:r>
              <w:rPr>
                <w:snapToGrid/>
                <w:color w:val="000000"/>
                <w:kern w:val="2"/>
                <w:sz w:val="24"/>
                <w:lang w:bidi="ar"/>
              </w:rPr>
              <w:t>70</w:t>
            </w:r>
            <w:r>
              <w:rPr>
                <w:rFonts w:hint="eastAsia"/>
                <w:snapToGrid/>
                <w:color w:val="000000"/>
                <w:kern w:val="2"/>
                <w:sz w:val="24"/>
                <w:lang w:bidi="ar"/>
              </w:rPr>
              <w:t>号）。</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kern w:val="0"/>
                <w:sz w:val="24"/>
              </w:rPr>
            </w:pPr>
            <w:r>
              <w:rPr>
                <w:snapToGrid/>
                <w:color w:val="000000"/>
                <w:kern w:val="2"/>
                <w:sz w:val="24"/>
                <w:lang w:bidi="ar"/>
              </w:rPr>
              <w:t>2</w:t>
            </w:r>
            <w:r>
              <w:rPr>
                <w:rFonts w:hint="eastAsia"/>
                <w:snapToGrid/>
                <w:color w:val="000000"/>
                <w:kern w:val="2"/>
                <w:sz w:val="24"/>
                <w:lang w:bidi="ar"/>
              </w:rPr>
              <w:t>、《江苏泰州港经济开发区（市级开发区）开发建设规划（</w:t>
            </w:r>
            <w:r>
              <w:rPr>
                <w:snapToGrid/>
                <w:color w:val="000000"/>
                <w:kern w:val="2"/>
                <w:sz w:val="24"/>
                <w:lang w:bidi="ar"/>
              </w:rPr>
              <w:t>2022-2035</w:t>
            </w:r>
            <w:r>
              <w:rPr>
                <w:rFonts w:hint="eastAsia"/>
                <w:snapToGrid/>
                <w:color w:val="000000"/>
                <w:kern w:val="2"/>
                <w:sz w:val="24"/>
                <w:lang w:bidi="ar"/>
              </w:rPr>
              <w:t>）》泰州港经济开发区管委会委托泰州市国土空间规划设计院编制《江苏泰州港经济开发区（市级开发区）开发建设规划（</w:t>
            </w:r>
            <w:r>
              <w:rPr>
                <w:snapToGrid/>
                <w:color w:val="000000"/>
                <w:kern w:val="2"/>
                <w:sz w:val="24"/>
                <w:lang w:bidi="ar"/>
              </w:rPr>
              <w:t>2022-2035</w:t>
            </w:r>
            <w:r>
              <w:rPr>
                <w:rFonts w:hint="eastAsia"/>
                <w:snapToGrid/>
                <w:color w:val="000000"/>
                <w:kern w:val="2"/>
                <w:sz w:val="24"/>
                <w:lang w:bidi="ar"/>
              </w:rPr>
              <w:t>）》，该规划尚未取得批复。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910" w:type="dxa"/>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szCs w:val="21"/>
              </w:rPr>
              <w:t>规划环境影响</w:t>
            </w:r>
          </w:p>
          <w:p>
            <w:pPr>
              <w:keepNext w:val="0"/>
              <w:keepLines w:val="0"/>
              <w:pageBreakBefore w:val="0"/>
              <w:kinsoku/>
              <w:wordWrap/>
              <w:overflowPunct/>
              <w:topLinePunct w:val="0"/>
              <w:autoSpaceDE/>
              <w:autoSpaceDN/>
              <w:bidi w:val="0"/>
              <w:adjustRightInd w:val="0"/>
              <w:snapToGrid w:val="0"/>
              <w:jc w:val="center"/>
              <w:textAlignment w:val="auto"/>
              <w:rPr>
                <w:kern w:val="0"/>
                <w:szCs w:val="21"/>
              </w:rPr>
            </w:pPr>
            <w:r>
              <w:rPr>
                <w:szCs w:val="21"/>
              </w:rPr>
              <w:t>评价情况</w:t>
            </w:r>
          </w:p>
        </w:tc>
        <w:tc>
          <w:tcPr>
            <w:tcW w:w="8063" w:type="dxa"/>
            <w:gridSpan w:val="4"/>
            <w:vAlign w:val="center"/>
          </w:tcPr>
          <w:p>
            <w:pPr>
              <w:keepNext w:val="0"/>
              <w:keepLines w:val="0"/>
              <w:pageBreakBefore w:val="0"/>
              <w:kinsoku/>
              <w:wordWrap/>
              <w:overflowPunct/>
              <w:topLinePunct w:val="0"/>
              <w:autoSpaceDE/>
              <w:autoSpaceDN/>
              <w:bidi w:val="0"/>
              <w:adjustRightInd w:val="0"/>
              <w:snapToGrid w:val="0"/>
              <w:spacing w:line="500" w:lineRule="exact"/>
              <w:textAlignment w:val="auto"/>
              <w:rPr>
                <w:kern w:val="0"/>
                <w:sz w:val="24"/>
              </w:rPr>
            </w:pPr>
            <w:r>
              <w:rPr>
                <w:kern w:val="0"/>
                <w:sz w:val="24"/>
              </w:rPr>
              <w:t>1、《高港高新技术产业园区总体规划（2016-2020）环境影响报告书（不含省级开发区）》</w:t>
            </w:r>
          </w:p>
          <w:p>
            <w:pPr>
              <w:keepNext w:val="0"/>
              <w:keepLines w:val="0"/>
              <w:pageBreakBefore w:val="0"/>
              <w:kinsoku/>
              <w:wordWrap/>
              <w:overflowPunct/>
              <w:topLinePunct w:val="0"/>
              <w:autoSpaceDE/>
              <w:autoSpaceDN/>
              <w:bidi w:val="0"/>
              <w:adjustRightInd w:val="0"/>
              <w:snapToGrid w:val="0"/>
              <w:spacing w:line="500" w:lineRule="exact"/>
              <w:textAlignment w:val="auto"/>
              <w:rPr>
                <w:kern w:val="0"/>
                <w:sz w:val="24"/>
              </w:rPr>
            </w:pPr>
            <w:r>
              <w:rPr>
                <w:kern w:val="0"/>
                <w:sz w:val="24"/>
              </w:rPr>
              <w:t>规划环评名称：《高港高新技术产业园区总体规划（2016-2020）环境影响报告书（不含省级开发区）》</w:t>
            </w:r>
          </w:p>
          <w:p>
            <w:pPr>
              <w:keepNext w:val="0"/>
              <w:keepLines w:val="0"/>
              <w:pageBreakBefore w:val="0"/>
              <w:kinsoku/>
              <w:wordWrap/>
              <w:overflowPunct/>
              <w:topLinePunct w:val="0"/>
              <w:autoSpaceDE/>
              <w:autoSpaceDN/>
              <w:bidi w:val="0"/>
              <w:adjustRightInd w:val="0"/>
              <w:snapToGrid w:val="0"/>
              <w:spacing w:line="500" w:lineRule="exact"/>
              <w:textAlignment w:val="auto"/>
              <w:rPr>
                <w:kern w:val="0"/>
                <w:sz w:val="24"/>
              </w:rPr>
            </w:pPr>
            <w:r>
              <w:rPr>
                <w:kern w:val="0"/>
                <w:sz w:val="24"/>
              </w:rPr>
              <w:t>审批机关：泰州市生态环境局（原泰州市环境保护局）</w:t>
            </w:r>
          </w:p>
          <w:p>
            <w:pPr>
              <w:keepNext w:val="0"/>
              <w:keepLines w:val="0"/>
              <w:pageBreakBefore w:val="0"/>
              <w:kinsoku/>
              <w:wordWrap/>
              <w:overflowPunct/>
              <w:topLinePunct w:val="0"/>
              <w:autoSpaceDE/>
              <w:autoSpaceDN/>
              <w:bidi w:val="0"/>
              <w:adjustRightInd w:val="0"/>
              <w:snapToGrid w:val="0"/>
              <w:spacing w:line="500" w:lineRule="exact"/>
              <w:textAlignment w:val="auto"/>
              <w:rPr>
                <w:kern w:val="0"/>
                <w:sz w:val="24"/>
              </w:rPr>
            </w:pPr>
            <w:r>
              <w:rPr>
                <w:kern w:val="0"/>
                <w:sz w:val="24"/>
              </w:rPr>
              <w:t>审批文件名称及文号：《关于高港高新技术产业园区总体规划（2016-2020）环境影响报告书（不含省级开发区）的审查意见》（泰环审</w:t>
            </w:r>
            <w:r>
              <w:rPr>
                <w:rFonts w:hint="eastAsia"/>
                <w:snapToGrid/>
                <w:color w:val="0000FF"/>
                <w:kern w:val="2"/>
                <w:sz w:val="24"/>
                <w:lang w:bidi="ar"/>
              </w:rPr>
              <w:t>〔</w:t>
            </w:r>
            <w:r>
              <w:rPr>
                <w:rFonts w:hint="eastAsia"/>
                <w:snapToGrid/>
                <w:color w:val="000000"/>
                <w:kern w:val="2"/>
                <w:sz w:val="24"/>
                <w:lang w:val="en-US" w:eastAsia="zh-CN" w:bidi="ar"/>
              </w:rPr>
              <w:t>2018</w:t>
            </w:r>
            <w:r>
              <w:rPr>
                <w:rFonts w:hint="eastAsia"/>
                <w:snapToGrid/>
                <w:color w:val="0000FF"/>
                <w:kern w:val="2"/>
                <w:sz w:val="24"/>
                <w:lang w:bidi="ar"/>
              </w:rPr>
              <w:t>〕</w:t>
            </w:r>
            <w:r>
              <w:rPr>
                <w:kern w:val="0"/>
                <w:sz w:val="24"/>
              </w:rPr>
              <w:t>16号）</w:t>
            </w:r>
          </w:p>
          <w:p>
            <w:pPr>
              <w:keepNext w:val="0"/>
              <w:keepLines w:val="0"/>
              <w:pageBreakBefore w:val="0"/>
              <w:kinsoku/>
              <w:wordWrap/>
              <w:overflowPunct/>
              <w:topLinePunct w:val="0"/>
              <w:autoSpaceDE/>
              <w:autoSpaceDN/>
              <w:bidi w:val="0"/>
              <w:adjustRightInd w:val="0"/>
              <w:snapToGrid w:val="0"/>
              <w:spacing w:line="500" w:lineRule="exact"/>
              <w:textAlignment w:val="auto"/>
              <w:rPr>
                <w:kern w:val="0"/>
                <w:sz w:val="24"/>
              </w:rPr>
            </w:pPr>
            <w:r>
              <w:rPr>
                <w:kern w:val="0"/>
                <w:sz w:val="24"/>
              </w:rPr>
              <w:t>2、《江苏泰州港经济开发区（市级开发区）开发建设规划（2022-2035）》</w:t>
            </w:r>
          </w:p>
          <w:p>
            <w:pPr>
              <w:keepNext w:val="0"/>
              <w:keepLines w:val="0"/>
              <w:pageBreakBefore w:val="0"/>
              <w:kinsoku/>
              <w:wordWrap/>
              <w:overflowPunct/>
              <w:topLinePunct w:val="0"/>
              <w:autoSpaceDE/>
              <w:autoSpaceDN/>
              <w:bidi w:val="0"/>
              <w:adjustRightInd w:val="0"/>
              <w:snapToGrid w:val="0"/>
              <w:spacing w:line="500" w:lineRule="exact"/>
              <w:textAlignment w:val="auto"/>
              <w:rPr>
                <w:kern w:val="0"/>
                <w:sz w:val="24"/>
              </w:rPr>
            </w:pPr>
            <w:r>
              <w:rPr>
                <w:kern w:val="0"/>
                <w:sz w:val="24"/>
              </w:rPr>
              <w:t>泰州港经济开发区管委会委托南京国环科技股份有限公司编制《江苏泰州港经济开发区（市级开发区）开发建设规划（2022-2035）环境影响报告书》，该报告书尚未取得审查意见。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910" w:type="dxa"/>
            <w:vAlign w:val="center"/>
          </w:tcPr>
          <w:p>
            <w:pPr>
              <w:keepNext w:val="0"/>
              <w:keepLines w:val="0"/>
              <w:pageBreakBefore w:val="0"/>
              <w:kinsoku/>
              <w:wordWrap/>
              <w:overflowPunct/>
              <w:topLinePunct w:val="0"/>
              <w:autoSpaceDE/>
              <w:autoSpaceDN/>
              <w:bidi w:val="0"/>
              <w:adjustRightInd w:val="0"/>
              <w:snapToGrid w:val="0"/>
              <w:jc w:val="center"/>
              <w:textAlignment w:val="auto"/>
              <w:rPr>
                <w:kern w:val="0"/>
                <w:szCs w:val="21"/>
              </w:rPr>
            </w:pPr>
            <w:r>
              <w:rPr>
                <w:kern w:val="0"/>
                <w:szCs w:val="21"/>
              </w:rPr>
              <w:t>规划及规划环境影响评价符合性分析</w:t>
            </w:r>
          </w:p>
        </w:tc>
        <w:tc>
          <w:tcPr>
            <w:tcW w:w="8063" w:type="dxa"/>
            <w:gridSpan w:val="4"/>
            <w:vAlign w:val="center"/>
          </w:tcPr>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lang w:bidi="ar"/>
              </w:rPr>
            </w:pPr>
            <w:r>
              <w:rPr>
                <w:color w:val="000000"/>
                <w:sz w:val="24"/>
                <w:lang w:bidi="ar"/>
              </w:rPr>
              <w:t>1、与规划相符性分析：</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lang w:bidi="ar"/>
              </w:rPr>
            </w:pPr>
            <w:r>
              <w:rPr>
                <w:color w:val="000000"/>
                <w:sz w:val="24"/>
                <w:lang w:bidi="ar"/>
              </w:rPr>
              <w:t>①《高港高新技术产业园区总体规划（2016-2020）》</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lang w:bidi="ar"/>
              </w:rPr>
            </w:pPr>
            <w:r>
              <w:rPr>
                <w:color w:val="000000"/>
                <w:sz w:val="24"/>
                <w:lang w:bidi="ar"/>
              </w:rPr>
              <w:t>规划范围：高港高新技术产业园区规划面积33.06km</w:t>
            </w:r>
            <w:r>
              <w:rPr>
                <w:color w:val="000000"/>
                <w:sz w:val="24"/>
                <w:vertAlign w:val="superscript"/>
                <w:lang w:bidi="ar"/>
              </w:rPr>
              <w:t>2</w:t>
            </w:r>
            <w:r>
              <w:rPr>
                <w:color w:val="000000"/>
                <w:sz w:val="24"/>
                <w:lang w:bidi="ar"/>
              </w:rPr>
              <w:t>，规划范围北至与医药高新区界址，西至南官河、南至通港路、东至泰州大桥北接线（不含省级开发区范围）。</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lang w:bidi="ar"/>
              </w:rPr>
            </w:pPr>
            <w:r>
              <w:rPr>
                <w:color w:val="000000"/>
                <w:sz w:val="24"/>
                <w:lang w:bidi="ar"/>
              </w:rPr>
              <w:t>产业定位：泰州市高港高新技术产业园区主导产业为机械制造、电子信息、家居建材和生命健康，其中机械制造主要发展汽车整车及零部件制造、通用动力等（不含纯电镀）；电子信息主要为电子产品及材料等（不含纯电镀）；家居建材主要为壁纸、装饰材料等；生命健康主要为食品加工（不含酿造）、酒和饮料制造（不含酿造）、医药加工、医疗器械等。</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lang w:bidi="ar"/>
              </w:rPr>
            </w:pPr>
            <w:r>
              <w:rPr>
                <w:color w:val="000000"/>
                <w:sz w:val="24"/>
                <w:lang w:bidi="ar"/>
              </w:rPr>
              <w:t>②《江苏泰州港经济开发区（市级开发区）开发建设规划（2022-2035）》</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lang w:bidi="ar"/>
              </w:rPr>
            </w:pPr>
            <w:r>
              <w:rPr>
                <w:color w:val="000000"/>
                <w:sz w:val="24"/>
                <w:lang w:bidi="ar"/>
              </w:rPr>
              <w:t>规划范围：北至创新大道—泰州大道—港北路、南至京沪高速、东至231省道、西至南官河（不含省级开发区），市级开发区用地面积为15.87km</w:t>
            </w:r>
            <w:r>
              <w:rPr>
                <w:color w:val="000000"/>
                <w:sz w:val="24"/>
                <w:vertAlign w:val="superscript"/>
                <w:lang w:bidi="ar"/>
              </w:rPr>
              <w:t>2</w:t>
            </w:r>
            <w:r>
              <w:rPr>
                <w:color w:val="000000"/>
                <w:sz w:val="24"/>
                <w:lang w:bidi="ar"/>
              </w:rPr>
              <w:t>。</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lang w:bidi="ar"/>
              </w:rPr>
            </w:pPr>
            <w:r>
              <w:rPr>
                <w:color w:val="000000"/>
                <w:sz w:val="24"/>
                <w:lang w:bidi="ar"/>
              </w:rPr>
              <w:t>产业定位：主导产业为高端装备制造、生命健康、家居建材及现代服务业等。推进工业企业</w:t>
            </w:r>
            <w:r>
              <w:rPr>
                <w:rFonts w:hint="eastAsia"/>
                <w:color w:val="0000FF"/>
                <w:sz w:val="24"/>
                <w:lang w:eastAsia="zh-CN" w:bidi="ar"/>
              </w:rPr>
              <w:t>“</w:t>
            </w:r>
            <w:r>
              <w:rPr>
                <w:color w:val="000000"/>
                <w:sz w:val="24"/>
                <w:lang w:bidi="ar"/>
              </w:rPr>
              <w:t>亩均论英雄</w:t>
            </w:r>
            <w:r>
              <w:rPr>
                <w:rFonts w:hint="eastAsia"/>
                <w:color w:val="0000FF"/>
                <w:sz w:val="24"/>
                <w:lang w:eastAsia="zh-CN" w:bidi="ar"/>
              </w:rPr>
              <w:t>”</w:t>
            </w:r>
            <w:r>
              <w:rPr>
                <w:color w:val="000000"/>
                <w:sz w:val="24"/>
                <w:lang w:bidi="ar"/>
              </w:rPr>
              <w:t>改革，对开发区低效闲置工业用地企业，通过增资技改、嫁接重组、协商处置等途径，盘活提升低效闲置工业用地（厂房）。</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lang w:bidi="ar"/>
              </w:rPr>
            </w:pPr>
            <w:r>
              <w:rPr>
                <w:color w:val="000000"/>
                <w:sz w:val="24"/>
                <w:lang w:bidi="ar"/>
              </w:rPr>
              <w:t>高端装备制造产业主要为：打造汽车配套零部件生产基地，推动汽车电子系统、汽车电气系统、汽车变速系统、汽车传动系统、汽车行驶系统、汽车制动系统、汽车发动机系统、汽车转向系统、车身件及内饰等关键零部件项目的集聚，促进本地零部件企业提档升级，对照中高端汽车品牌供应链标准，实施产线智能化改造、产品全生命周期管理，推动装备及工艺达到行业先进水平，推动本地汽车零部件企业成为长城汽车供应商（不含纯电镀）。</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lang w:bidi="ar"/>
              </w:rPr>
            </w:pPr>
            <w:r>
              <w:rPr>
                <w:color w:val="000000"/>
                <w:sz w:val="24"/>
                <w:lang w:bidi="ar"/>
              </w:rPr>
              <w:t>生命健康产业主要为：依托泰州大健康产业发展优势，大力发展健康食品、饮品、保健品及新医药、生物科技、医疗器械等产业，全力打造特色鲜明、品牌丰富、功能齐全的大健康产业集聚区（不含酿造）。</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lang w:bidi="ar"/>
              </w:rPr>
            </w:pPr>
            <w:r>
              <w:rPr>
                <w:color w:val="000000"/>
                <w:sz w:val="24"/>
                <w:lang w:bidi="ar"/>
              </w:rPr>
              <w:t>家居建材产业主要为：致力发展高端家居、木地板、衣橱柜、定制（整体）家居、家居高档五金、新型墙体和屋面材料、功能性壁纸、绝热隔音材料等。</w:t>
            </w:r>
          </w:p>
          <w:p>
            <w:pPr>
              <w:keepNext w:val="0"/>
              <w:keepLines w:val="0"/>
              <w:pageBreakBefore w:val="0"/>
              <w:kinsoku/>
              <w:wordWrap/>
              <w:overflowPunct/>
              <w:topLinePunct w:val="0"/>
              <w:autoSpaceDE/>
              <w:autoSpaceDN/>
              <w:bidi w:val="0"/>
              <w:spacing w:line="500" w:lineRule="exact"/>
              <w:ind w:firstLine="480" w:firstLineChars="200"/>
              <w:textAlignment w:val="auto"/>
              <w:rPr>
                <w:rFonts w:hAnsi="宋体"/>
                <w:color w:val="000000"/>
                <w:sz w:val="24"/>
              </w:rPr>
            </w:pPr>
            <w:r>
              <w:rPr>
                <w:color w:val="000000"/>
                <w:sz w:val="24"/>
                <w:lang w:bidi="ar"/>
              </w:rPr>
              <w:t>现代服务业主要为：全面发展新产业、新业态、新模式、新技术，加快完善以科技金融、研发设计为重点的现代服务业体系，大力发展5G、大数据、云计算、人工智能、工业物联网等数字经济，全力打造信息服务、科技服务、金融服务、现代服务业、现代商贸等五大服务集聚区。</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rPr>
            </w:pPr>
            <w:r>
              <w:rPr>
                <w:rFonts w:hint="eastAsia"/>
                <w:color w:val="000000"/>
                <w:sz w:val="24"/>
              </w:rPr>
              <w:t>项目位于</w:t>
            </w:r>
            <w:r>
              <w:rPr>
                <w:rFonts w:hint="eastAsia"/>
                <w:sz w:val="24"/>
              </w:rPr>
              <w:t>江苏省泰州市高港区永盛路5号，</w:t>
            </w:r>
            <w:r>
              <w:rPr>
                <w:rFonts w:hint="eastAsia"/>
                <w:color w:val="000000"/>
                <w:sz w:val="24"/>
              </w:rPr>
              <w:t>泰州市医药高新区（高港区）郁金香墙纸公司东侧，永盛路北侧、创新大道南侧、展帆路西侧。本项目属于社会公共服务及其他专用设备制造，符合园区产业定位。</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rPr>
            </w:pPr>
            <w:r>
              <w:rPr>
                <w:rFonts w:hint="eastAsia"/>
                <w:color w:val="000000"/>
                <w:sz w:val="24"/>
              </w:rPr>
              <w:t>2、与规划用地性质相符性</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rPr>
            </w:pPr>
            <w:r>
              <w:rPr>
                <w:rFonts w:hint="eastAsia"/>
                <w:color w:val="000000"/>
                <w:sz w:val="24"/>
              </w:rPr>
              <w:t>项目位于泰州市医药高新区（高港区）郁金香墙纸公司东侧，永盛路北侧、创新大道南侧、展帆路西侧。项目所在地用地为工业用地，符合</w:t>
            </w:r>
            <w:r>
              <w:rPr>
                <w:rFonts w:hint="eastAsia"/>
                <w:color w:val="000000"/>
                <w:kern w:val="0"/>
                <w:sz w:val="24"/>
                <w:lang w:bidi="ar"/>
              </w:rPr>
              <w:t>园区的</w:t>
            </w:r>
            <w:r>
              <w:rPr>
                <w:rFonts w:hint="eastAsia"/>
                <w:color w:val="000000"/>
                <w:sz w:val="24"/>
              </w:rPr>
              <w:t>土地利用规划。</w:t>
            </w:r>
          </w:p>
          <w:p>
            <w:pPr>
              <w:keepNext w:val="0"/>
              <w:keepLines w:val="0"/>
              <w:pageBreakBefore w:val="0"/>
              <w:kinsoku/>
              <w:wordWrap/>
              <w:overflowPunct/>
              <w:topLinePunct w:val="0"/>
              <w:autoSpaceDE/>
              <w:autoSpaceDN/>
              <w:bidi w:val="0"/>
              <w:spacing w:line="500" w:lineRule="exact"/>
              <w:ind w:firstLine="480" w:firstLineChars="200"/>
              <w:textAlignment w:val="auto"/>
              <w:rPr>
                <w:color w:val="000000"/>
                <w:sz w:val="24"/>
              </w:rPr>
            </w:pPr>
            <w:r>
              <w:rPr>
                <w:rFonts w:hint="eastAsia"/>
                <w:color w:val="000000"/>
                <w:sz w:val="24"/>
              </w:rPr>
              <w:t>3、</w:t>
            </w:r>
            <w:r>
              <w:rPr>
                <w:color w:val="000000"/>
                <w:sz w:val="24"/>
              </w:rPr>
              <w:t>与规划环评审查意见相符性分析</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kern w:val="0"/>
                <w:sz w:val="24"/>
              </w:rPr>
              <w:t>经分析，本项目与高港高新技术产业园区总体规划（2016-2020）环境影响报告书（不含省级开发区）的审查意见（泰环审</w:t>
            </w:r>
            <w:r>
              <w:rPr>
                <w:rFonts w:hint="eastAsia"/>
                <w:snapToGrid/>
                <w:color w:val="0000FF"/>
                <w:kern w:val="2"/>
                <w:sz w:val="24"/>
                <w:lang w:bidi="ar"/>
              </w:rPr>
              <w:t>〔</w:t>
            </w:r>
            <w:r>
              <w:rPr>
                <w:rFonts w:hint="eastAsia"/>
                <w:snapToGrid/>
                <w:color w:val="000000"/>
                <w:kern w:val="2"/>
                <w:sz w:val="24"/>
                <w:lang w:val="en-US" w:eastAsia="zh-CN" w:bidi="ar"/>
              </w:rPr>
              <w:t>2018</w:t>
            </w:r>
            <w:r>
              <w:rPr>
                <w:rFonts w:hint="eastAsia"/>
                <w:snapToGrid/>
                <w:color w:val="0000FF"/>
                <w:kern w:val="2"/>
                <w:sz w:val="24"/>
                <w:lang w:bidi="ar"/>
              </w:rPr>
              <w:t>〕</w:t>
            </w:r>
            <w:r>
              <w:rPr>
                <w:kern w:val="0"/>
                <w:sz w:val="24"/>
              </w:rPr>
              <w:t>16号）相符，详见表1-1。</w:t>
            </w:r>
          </w:p>
          <w:p>
            <w:pPr>
              <w:keepNext w:val="0"/>
              <w:keepLines w:val="0"/>
              <w:pageBreakBefore w:val="0"/>
              <w:widowControl/>
              <w:kinsoku/>
              <w:wordWrap/>
              <w:overflowPunct/>
              <w:topLinePunct w:val="0"/>
              <w:autoSpaceDE/>
              <w:autoSpaceDN/>
              <w:bidi w:val="0"/>
              <w:adjustRightInd/>
              <w:snapToGrid/>
              <w:spacing w:before="157" w:beforeLines="50" w:after="157" w:afterLines="5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表1-1与泰环审</w:t>
            </w:r>
            <w:r>
              <w:rPr>
                <w:rFonts w:hint="eastAsia"/>
                <w:b/>
                <w:color w:val="0000FF"/>
                <w:szCs w:val="21"/>
              </w:rPr>
              <w:t>〔</w:t>
            </w:r>
            <w:r>
              <w:rPr>
                <w:rFonts w:hint="eastAsia"/>
                <w:b/>
                <w:color w:val="000000" w:themeColor="text1"/>
                <w:szCs w:val="21"/>
                <w:lang w:val="en-US" w:eastAsia="zh-CN"/>
                <w14:textFill>
                  <w14:solidFill>
                    <w14:schemeClr w14:val="tx1"/>
                  </w14:solidFill>
                </w14:textFill>
              </w:rPr>
              <w:t>2018</w:t>
            </w:r>
            <w:r>
              <w:rPr>
                <w:rFonts w:hint="eastAsia"/>
                <w:b/>
                <w:color w:val="0000FF"/>
                <w:szCs w:val="21"/>
              </w:rPr>
              <w:t>〕</w:t>
            </w:r>
            <w:r>
              <w:rPr>
                <w:b/>
                <w:color w:val="000000" w:themeColor="text1"/>
                <w:szCs w:val="21"/>
                <w14:textFill>
                  <w14:solidFill>
                    <w14:schemeClr w14:val="tx1"/>
                  </w14:solidFill>
                </w14:textFill>
              </w:rPr>
              <w:t>16号相符性分析</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0"/>
              <w:gridCol w:w="4104"/>
              <w:gridCol w:w="27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6" w:type="dxa"/>
                  <w:tcBorders>
                    <w:tl2br w:val="nil"/>
                    <w:tr2bl w:val="nil"/>
                  </w:tcBorders>
                  <w:vAlign w:val="center"/>
                </w:tcPr>
                <w:p>
                  <w:pPr>
                    <w:keepNext w:val="0"/>
                    <w:keepLines w:val="0"/>
                    <w:pageBreakBefore w:val="0"/>
                    <w:kinsoku/>
                    <w:wordWrap/>
                    <w:overflowPunct/>
                    <w:topLinePunct w:val="0"/>
                    <w:autoSpaceDE/>
                    <w:autoSpaceDN/>
                    <w:bidi w:val="0"/>
                    <w:jc w:val="center"/>
                    <w:textAlignment w:val="auto"/>
                    <w:rPr>
                      <w:b/>
                      <w:bCs/>
                      <w:szCs w:val="21"/>
                    </w:rPr>
                  </w:pPr>
                  <w:r>
                    <w:rPr>
                      <w:b/>
                      <w:bCs/>
                      <w:szCs w:val="21"/>
                    </w:rPr>
                    <w:t>序号</w:t>
                  </w:r>
                </w:p>
              </w:tc>
              <w:tc>
                <w:tcPr>
                  <w:tcW w:w="3655" w:type="dxa"/>
                  <w:tcBorders>
                    <w:tl2br w:val="nil"/>
                    <w:tr2bl w:val="nil"/>
                  </w:tcBorders>
                  <w:vAlign w:val="center"/>
                </w:tcPr>
                <w:p>
                  <w:pPr>
                    <w:keepNext w:val="0"/>
                    <w:keepLines w:val="0"/>
                    <w:pageBreakBefore w:val="0"/>
                    <w:kinsoku/>
                    <w:wordWrap/>
                    <w:overflowPunct/>
                    <w:topLinePunct w:val="0"/>
                    <w:autoSpaceDE/>
                    <w:autoSpaceDN/>
                    <w:bidi w:val="0"/>
                    <w:jc w:val="center"/>
                    <w:textAlignment w:val="auto"/>
                    <w:rPr>
                      <w:b/>
                      <w:bCs/>
                      <w:szCs w:val="21"/>
                    </w:rPr>
                  </w:pPr>
                  <w:r>
                    <w:rPr>
                      <w:b/>
                      <w:bCs/>
                      <w:szCs w:val="21"/>
                    </w:rPr>
                    <w:t>审查意见</w:t>
                  </w:r>
                </w:p>
              </w:tc>
              <w:tc>
                <w:tcPr>
                  <w:tcW w:w="2486" w:type="dxa"/>
                  <w:tcBorders>
                    <w:tl2br w:val="nil"/>
                    <w:tr2bl w:val="nil"/>
                  </w:tcBorders>
                  <w:vAlign w:val="center"/>
                </w:tcPr>
                <w:p>
                  <w:pPr>
                    <w:keepNext w:val="0"/>
                    <w:keepLines w:val="0"/>
                    <w:pageBreakBefore w:val="0"/>
                    <w:kinsoku/>
                    <w:wordWrap/>
                    <w:overflowPunct/>
                    <w:topLinePunct w:val="0"/>
                    <w:autoSpaceDE/>
                    <w:autoSpaceDN/>
                    <w:bidi w:val="0"/>
                    <w:jc w:val="center"/>
                    <w:textAlignment w:val="auto"/>
                    <w:rPr>
                      <w:b/>
                      <w:bCs/>
                      <w:szCs w:val="21"/>
                    </w:rPr>
                  </w:pPr>
                  <w:r>
                    <w:rPr>
                      <w:b/>
                      <w:bCs/>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6" w:type="dxa"/>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szCs w:val="21"/>
                    </w:rPr>
                    <w:t>1</w:t>
                  </w:r>
                </w:p>
              </w:tc>
              <w:tc>
                <w:tcPr>
                  <w:tcW w:w="3655" w:type="dxa"/>
                  <w:tcBorders>
                    <w:tl2br w:val="nil"/>
                    <w:tr2bl w:val="nil"/>
                  </w:tcBorders>
                  <w:vAlign w:val="center"/>
                </w:tcPr>
                <w:p>
                  <w:pPr>
                    <w:keepNext w:val="0"/>
                    <w:keepLines w:val="0"/>
                    <w:pageBreakBefore w:val="0"/>
                    <w:kinsoku/>
                    <w:wordWrap/>
                    <w:overflowPunct/>
                    <w:topLinePunct w:val="0"/>
                    <w:autoSpaceDE/>
                    <w:autoSpaceDN/>
                    <w:bidi w:val="0"/>
                    <w:textAlignment w:val="auto"/>
                    <w:rPr>
                      <w:szCs w:val="21"/>
                    </w:rPr>
                  </w:pPr>
                  <w:r>
                    <w:rPr>
                      <w:szCs w:val="21"/>
                    </w:rPr>
                    <w:t>优化区内空间布局。按照《报告书》提出的空间管控要求，在距离居住用地100m范围内禁止布置含涂装、酸洗、电镀工序及高噪声设备的项目；距离居住用地200m范围内禁止布置含发酵、提炼工段项目；居住用地300m范围内禁止布置汽车整车制造、排放重金属废气污染物项目；食品、健康饮品等敏感企业周围100m范围内禁止引进排放重金属废气污染物项目。</w:t>
                  </w:r>
                </w:p>
              </w:tc>
              <w:tc>
                <w:tcPr>
                  <w:tcW w:w="2486"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szCs w:val="21"/>
                    </w:rPr>
                  </w:pPr>
                  <w:r>
                    <w:rPr>
                      <w:rFonts w:hint="eastAsia"/>
                      <w:color w:val="0000FF"/>
                      <w:szCs w:val="21"/>
                      <w:lang w:val="en-US" w:eastAsia="zh-CN"/>
                    </w:rPr>
                    <w:t>本</w:t>
                  </w:r>
                  <w:r>
                    <w:rPr>
                      <w:color w:val="000000" w:themeColor="text1"/>
                      <w:szCs w:val="21"/>
                      <w14:textFill>
                        <w14:solidFill>
                          <w14:schemeClr w14:val="tx1"/>
                        </w14:solidFill>
                      </w14:textFill>
                    </w:rPr>
                    <w:t>项目为</w:t>
                  </w:r>
                  <w:r>
                    <w:rPr>
                      <w:rFonts w:hint="eastAsia"/>
                      <w:color w:val="000000" w:themeColor="text1"/>
                      <w:szCs w:val="21"/>
                      <w14:textFill>
                        <w14:solidFill>
                          <w14:schemeClr w14:val="tx1"/>
                        </w14:solidFill>
                      </w14:textFill>
                    </w:rPr>
                    <w:t>社会公共服务及其他专用设备制造</w:t>
                  </w:r>
                  <w:r>
                    <w:rPr>
                      <w:color w:val="000000" w:themeColor="text1"/>
                      <w:szCs w:val="21"/>
                      <w14:textFill>
                        <w14:solidFill>
                          <w14:schemeClr w14:val="tx1"/>
                        </w14:solidFill>
                      </w14:textFill>
                    </w:rPr>
                    <w:t>，100m范围内无居住用地，</w:t>
                  </w:r>
                  <w:r>
                    <w:rPr>
                      <w:szCs w:val="21"/>
                    </w:rPr>
                    <w:t>不属于上述项目，符合要求。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6" w:type="dxa"/>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szCs w:val="21"/>
                    </w:rPr>
                    <w:t>2</w:t>
                  </w:r>
                </w:p>
              </w:tc>
              <w:tc>
                <w:tcPr>
                  <w:tcW w:w="3655" w:type="dxa"/>
                  <w:tcBorders>
                    <w:tl2br w:val="nil"/>
                    <w:tr2bl w:val="nil"/>
                  </w:tcBorders>
                  <w:vAlign w:val="center"/>
                </w:tcPr>
                <w:p>
                  <w:pPr>
                    <w:keepNext w:val="0"/>
                    <w:keepLines w:val="0"/>
                    <w:pageBreakBefore w:val="0"/>
                    <w:kinsoku/>
                    <w:wordWrap/>
                    <w:overflowPunct/>
                    <w:topLinePunct w:val="0"/>
                    <w:autoSpaceDE/>
                    <w:autoSpaceDN/>
                    <w:bidi w:val="0"/>
                    <w:textAlignment w:val="auto"/>
                    <w:rPr>
                      <w:szCs w:val="21"/>
                    </w:rPr>
                  </w:pPr>
                  <w:r>
                    <w:rPr>
                      <w:szCs w:val="21"/>
                    </w:rPr>
                    <w:t>严格执行入区项目环境准入负面清单。按照调整后的产业定位及产业政策、最新环保要求引进项目。机械制造主要发展汽车整车及零部件制造、通用和专用设备制造、电气机械和器材制造等</w:t>
                  </w:r>
                  <w:r>
                    <w:rPr>
                      <w:rFonts w:hint="eastAsia"/>
                      <w:color w:val="0000FF"/>
                      <w:szCs w:val="21"/>
                      <w:lang w:eastAsia="zh-CN"/>
                    </w:rPr>
                    <w:t>（</w:t>
                  </w:r>
                  <w:r>
                    <w:rPr>
                      <w:szCs w:val="21"/>
                    </w:rPr>
                    <w:t>不含纯电镀</w:t>
                  </w:r>
                  <w:r>
                    <w:rPr>
                      <w:rFonts w:hint="eastAsia"/>
                      <w:color w:val="0000FF"/>
                      <w:szCs w:val="21"/>
                      <w:lang w:eastAsia="zh-CN"/>
                    </w:rPr>
                    <w:t>）</w:t>
                  </w:r>
                  <w:r>
                    <w:rPr>
                      <w:szCs w:val="21"/>
                    </w:rPr>
                    <w:t>；电子信息主要为电子产品及电子专用材料等（不含纯电镀</w:t>
                  </w:r>
                  <w:r>
                    <w:rPr>
                      <w:rFonts w:hint="eastAsia"/>
                      <w:color w:val="0000FF"/>
                      <w:szCs w:val="21"/>
                      <w:lang w:eastAsia="zh-CN"/>
                    </w:rPr>
                    <w:t>）</w:t>
                  </w:r>
                  <w:r>
                    <w:rPr>
                      <w:szCs w:val="21"/>
                    </w:rPr>
                    <w:t>；家居建材主要为壁纸、木制品等装饰材料；生命健康主要为食品加工（不含酿造</w:t>
                  </w:r>
                  <w:r>
                    <w:rPr>
                      <w:rFonts w:hint="eastAsia"/>
                      <w:color w:val="0000FF"/>
                      <w:szCs w:val="21"/>
                      <w:lang w:eastAsia="zh-CN"/>
                    </w:rPr>
                    <w:t>）</w:t>
                  </w:r>
                  <w:r>
                    <w:rPr>
                      <w:szCs w:val="21"/>
                    </w:rPr>
                    <w:t>、酒和饮料制造（不含酿造</w:t>
                  </w:r>
                  <w:r>
                    <w:rPr>
                      <w:rFonts w:hint="eastAsia"/>
                      <w:szCs w:val="21"/>
                      <w:lang w:eastAsia="zh-CN"/>
                    </w:rPr>
                    <w:t>）</w:t>
                  </w:r>
                  <w:r>
                    <w:rPr>
                      <w:szCs w:val="21"/>
                    </w:rPr>
                    <w:t>、中药加工、单纯药品的分装和复配、医疗器械等。优先引进生产工艺和设备先进、技术含量高、清洁生产水平高、污染易于治理的项目，禁止引进纯电镀项目及含酿造工序的项目。</w:t>
                  </w:r>
                </w:p>
              </w:tc>
              <w:tc>
                <w:tcPr>
                  <w:tcW w:w="2486" w:type="dxa"/>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rFonts w:hint="eastAsia"/>
                      <w:color w:val="0000FF"/>
                      <w:szCs w:val="21"/>
                      <w:lang w:val="en-US" w:eastAsia="zh-CN"/>
                    </w:rPr>
                    <w:t>本</w:t>
                  </w:r>
                  <w:r>
                    <w:rPr>
                      <w:rFonts w:hint="eastAsia"/>
                      <w:color w:val="000000" w:themeColor="text1"/>
                      <w:szCs w:val="21"/>
                      <w14:textFill>
                        <w14:solidFill>
                          <w14:schemeClr w14:val="tx1"/>
                        </w14:solidFill>
                      </w14:textFill>
                    </w:rPr>
                    <w:t>项目属于社会公共服务及其他专用设备制造，符合园区产业定位及产业政策、最新环保要求。</w:t>
                  </w:r>
                  <w:r>
                    <w:rPr>
                      <w:szCs w:val="21"/>
                    </w:rPr>
                    <w:t>符合产业政策及园区产业定位，符合要求。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6" w:type="dxa"/>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szCs w:val="21"/>
                    </w:rPr>
                    <w:t>3</w:t>
                  </w:r>
                </w:p>
              </w:tc>
              <w:tc>
                <w:tcPr>
                  <w:tcW w:w="3655" w:type="dxa"/>
                  <w:tcBorders>
                    <w:tl2br w:val="nil"/>
                    <w:tr2bl w:val="nil"/>
                  </w:tcBorders>
                  <w:vAlign w:val="center"/>
                </w:tcPr>
                <w:p>
                  <w:pPr>
                    <w:keepNext w:val="0"/>
                    <w:keepLines w:val="0"/>
                    <w:pageBreakBefore w:val="0"/>
                    <w:kinsoku/>
                    <w:wordWrap/>
                    <w:overflowPunct/>
                    <w:topLinePunct w:val="0"/>
                    <w:autoSpaceDE/>
                    <w:autoSpaceDN/>
                    <w:bidi w:val="0"/>
                    <w:textAlignment w:val="auto"/>
                    <w:rPr>
                      <w:szCs w:val="21"/>
                    </w:rPr>
                  </w:pPr>
                  <w:r>
                    <w:rPr>
                      <w:szCs w:val="21"/>
                    </w:rPr>
                    <w:t>完善环境基础设施建设。园区实施雨污分流、清污分流和污水集中处理，企业废水须分类收集、分质处理，经预处理达到污水处理厂接管标准后方可接管。园区进行集中供热或者使用清洁能源，区内企业严禁自建燃煤设施，确因工艺需要的须采用清洁能源。加强园区固体废物的集中处理处置，危险废物交由有资质的单位处置。</w:t>
                  </w:r>
                </w:p>
              </w:tc>
              <w:tc>
                <w:tcPr>
                  <w:tcW w:w="2486" w:type="dxa"/>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rFonts w:hint="eastAsia"/>
                      <w:color w:val="0000FF"/>
                      <w:szCs w:val="21"/>
                      <w:lang w:val="en-US" w:eastAsia="zh-CN"/>
                    </w:rPr>
                    <w:t>本</w:t>
                  </w:r>
                  <w:r>
                    <w:rPr>
                      <w:szCs w:val="21"/>
                    </w:rPr>
                    <w:t>项目运营期无生产废水产生，生活污水</w:t>
                  </w:r>
                  <w:r>
                    <w:rPr>
                      <w:rFonts w:hint="eastAsia"/>
                      <w:color w:val="0000FF"/>
                      <w:szCs w:val="21"/>
                      <w:lang w:val="en-US" w:eastAsia="zh-CN"/>
                    </w:rPr>
                    <w:t>经</w:t>
                  </w:r>
                  <w:r>
                    <w:rPr>
                      <w:szCs w:val="21"/>
                    </w:rPr>
                    <w:t>化粪池收集后经园区污水管网进江苏港城污水处理有限公司集中处理。项目所需能源为电能，无燃煤设施。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6" w:type="dxa"/>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szCs w:val="21"/>
                    </w:rPr>
                    <w:t>4</w:t>
                  </w:r>
                </w:p>
              </w:tc>
              <w:tc>
                <w:tcPr>
                  <w:tcW w:w="3655" w:type="dxa"/>
                  <w:tcBorders>
                    <w:tl2br w:val="nil"/>
                    <w:tr2bl w:val="nil"/>
                  </w:tcBorders>
                  <w:vAlign w:val="center"/>
                </w:tcPr>
                <w:p>
                  <w:pPr>
                    <w:keepNext w:val="0"/>
                    <w:keepLines w:val="0"/>
                    <w:pageBreakBefore w:val="0"/>
                    <w:kinsoku/>
                    <w:wordWrap/>
                    <w:overflowPunct/>
                    <w:topLinePunct w:val="0"/>
                    <w:autoSpaceDE/>
                    <w:autoSpaceDN/>
                    <w:bidi w:val="0"/>
                    <w:textAlignment w:val="auto"/>
                    <w:rPr>
                      <w:szCs w:val="21"/>
                    </w:rPr>
                  </w:pPr>
                  <w:r>
                    <w:rPr>
                      <w:szCs w:val="21"/>
                    </w:rPr>
                    <w:t>加强污染源监控。强化VOCs、酸雾、重金属、异味气体等特征污染物的控制与治理，最大限度减少无组织废气排放；加强入区企业酸洗、电镀废水、高浓度有机废水等预处理；按照《报告书》提出的总量控制要求严格控制园区重点污染物排放总量。入区企业须按要求安装废水排放在线监控设施，明确在线监测因子，并与当地环保部门联网。</w:t>
                  </w:r>
                </w:p>
              </w:tc>
              <w:tc>
                <w:tcPr>
                  <w:tcW w:w="2486" w:type="dxa"/>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szCs w:val="21"/>
                    </w:rPr>
                    <w:t>本项目</w:t>
                  </w:r>
                  <w:r>
                    <w:rPr>
                      <w:rFonts w:hint="eastAsia"/>
                      <w:szCs w:val="21"/>
                    </w:rPr>
                    <w:t>有机废气</w:t>
                  </w:r>
                  <w:r>
                    <w:rPr>
                      <w:szCs w:val="21"/>
                    </w:rPr>
                    <w:t>收集后，通过二级活性炭处理，达标排放；总量在泰州医药高新区（高港区）内平衡；本项目不属于</w:t>
                  </w:r>
                  <w:r>
                    <w:rPr>
                      <w:rFonts w:hint="eastAsia"/>
                      <w:color w:val="0000FF"/>
                      <w:szCs w:val="21"/>
                      <w:lang w:eastAsia="zh-CN"/>
                    </w:rPr>
                    <w:t>“</w:t>
                  </w:r>
                  <w:r>
                    <w:rPr>
                      <w:rFonts w:hint="eastAsia"/>
                      <w:color w:val="0000FF"/>
                      <w:szCs w:val="21"/>
                      <w:lang w:val="en-US" w:eastAsia="zh-CN"/>
                    </w:rPr>
                    <w:t>须</w:t>
                  </w:r>
                  <w:r>
                    <w:rPr>
                      <w:szCs w:val="21"/>
                    </w:rPr>
                    <w:t>安装在线监控设施</w:t>
                  </w:r>
                  <w:r>
                    <w:rPr>
                      <w:rFonts w:hint="eastAsia"/>
                      <w:color w:val="0000FF"/>
                      <w:szCs w:val="21"/>
                      <w:lang w:eastAsia="zh-CN"/>
                    </w:rPr>
                    <w:t>”</w:t>
                  </w:r>
                  <w:r>
                    <w:rPr>
                      <w:rFonts w:hint="eastAsia"/>
                      <w:color w:val="0000FF"/>
                      <w:szCs w:val="21"/>
                      <w:lang w:val="en-US" w:eastAsia="zh-CN"/>
                    </w:rPr>
                    <w:t>的</w:t>
                  </w:r>
                  <w:r>
                    <w:rPr>
                      <w:szCs w:val="21"/>
                    </w:rPr>
                    <w:t>企业，符合要求。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6" w:type="dxa"/>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szCs w:val="21"/>
                    </w:rPr>
                    <w:t>5</w:t>
                  </w:r>
                </w:p>
              </w:tc>
              <w:tc>
                <w:tcPr>
                  <w:tcW w:w="3655" w:type="dxa"/>
                  <w:tcBorders>
                    <w:tl2br w:val="nil"/>
                    <w:tr2bl w:val="nil"/>
                  </w:tcBorders>
                  <w:vAlign w:val="center"/>
                </w:tcPr>
                <w:p>
                  <w:pPr>
                    <w:keepNext w:val="0"/>
                    <w:keepLines w:val="0"/>
                    <w:pageBreakBefore w:val="0"/>
                    <w:kinsoku/>
                    <w:wordWrap/>
                    <w:overflowPunct/>
                    <w:topLinePunct w:val="0"/>
                    <w:autoSpaceDE/>
                    <w:autoSpaceDN/>
                    <w:bidi w:val="0"/>
                    <w:textAlignment w:val="auto"/>
                    <w:rPr>
                      <w:szCs w:val="21"/>
                    </w:rPr>
                  </w:pPr>
                  <w:r>
                    <w:rPr>
                      <w:szCs w:val="21"/>
                    </w:rPr>
                    <w:t>切实加强环境管理。依托高港区环保局完善园区环境管理机构，统筹考虑园区内污染物排放与监管、区域环境综合整治、环境管理等事宜，严格执行建设项目环评及</w:t>
                  </w:r>
                  <w:r>
                    <w:rPr>
                      <w:rFonts w:hint="eastAsia"/>
                      <w:color w:val="0000FF"/>
                      <w:szCs w:val="21"/>
                      <w:lang w:eastAsia="zh-CN"/>
                    </w:rPr>
                    <w:t>“</w:t>
                  </w:r>
                  <w:r>
                    <w:rPr>
                      <w:szCs w:val="21"/>
                    </w:rPr>
                    <w:t>三同时</w:t>
                  </w:r>
                  <w:r>
                    <w:rPr>
                      <w:rFonts w:hint="eastAsia"/>
                      <w:color w:val="0000FF"/>
                      <w:szCs w:val="21"/>
                      <w:lang w:eastAsia="zh-CN"/>
                    </w:rPr>
                    <w:t>”</w:t>
                  </w:r>
                  <w:r>
                    <w:rPr>
                      <w:szCs w:val="21"/>
                    </w:rPr>
                    <w:t>制度。加强园区风险防范应急体系建设，完善园区应急预案，完善配备设备、物资、人员，并定期演练。制定并实施园区日常环境监测计划，按要求公开区域环境质量情况。</w:t>
                  </w:r>
                </w:p>
              </w:tc>
              <w:tc>
                <w:tcPr>
                  <w:tcW w:w="2486" w:type="dxa"/>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szCs w:val="21"/>
                    </w:rPr>
                    <w:t>本项目设立环境管理机构，落实相关管理制度，编制应急预案，落实应急物资及措施，并定期演练，符合要求。</w:t>
                  </w:r>
                </w:p>
              </w:tc>
            </w:tr>
          </w:tbl>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Fonts w:hint="eastAsia"/>
                <w:kern w:val="0"/>
                <w:sz w:val="24"/>
              </w:rPr>
            </w:pPr>
            <w:r>
              <w:rPr>
                <w:kern w:val="0"/>
                <w:sz w:val="24"/>
              </w:rPr>
              <w:t>因此，本项目与规划、规划环评结论及审查意见相符</w:t>
            </w:r>
            <w:r>
              <w:rPr>
                <w:rFonts w:hint="eastAsia"/>
                <w:kern w:val="0"/>
                <w:sz w:val="24"/>
              </w:rPr>
              <w:t>。</w:t>
            </w: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p>
            <w:pPr>
              <w:pStyle w:val="2"/>
              <w:rPr>
                <w:rFonts w:hint="eastAsia"/>
                <w:kern w:val="0"/>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22" w:hRule="atLeast"/>
        </w:trPr>
        <w:tc>
          <w:tcPr>
            <w:tcW w:w="910" w:type="dxa"/>
            <w:vAlign w:val="center"/>
          </w:tcPr>
          <w:p>
            <w:pPr>
              <w:keepNext w:val="0"/>
              <w:keepLines w:val="0"/>
              <w:pageBreakBefore w:val="0"/>
              <w:kinsoku/>
              <w:wordWrap/>
              <w:overflowPunct/>
              <w:topLinePunct w:val="0"/>
              <w:autoSpaceDE/>
              <w:autoSpaceDN/>
              <w:bidi w:val="0"/>
              <w:adjustRightInd w:val="0"/>
              <w:snapToGrid w:val="0"/>
              <w:jc w:val="center"/>
              <w:textAlignment w:val="auto"/>
              <w:rPr>
                <w:kern w:val="0"/>
                <w:sz w:val="24"/>
              </w:rPr>
            </w:pPr>
            <w:r>
              <w:rPr>
                <w:kern w:val="0"/>
                <w:sz w:val="24"/>
              </w:rPr>
              <w:t>其他符合性分析</w:t>
            </w:r>
          </w:p>
        </w:tc>
        <w:tc>
          <w:tcPr>
            <w:tcW w:w="8063" w:type="dxa"/>
            <w:gridSpan w:val="4"/>
            <w:vAlign w:val="center"/>
          </w:tcPr>
          <w:p>
            <w:pPr>
              <w:keepNext w:val="0"/>
              <w:keepLines w:val="0"/>
              <w:pageBreakBefore w:val="0"/>
              <w:kinsoku/>
              <w:wordWrap/>
              <w:overflowPunct/>
              <w:topLinePunct w:val="0"/>
              <w:autoSpaceDE/>
              <w:autoSpaceDN/>
              <w:bidi w:val="0"/>
              <w:adjustRightInd w:val="0"/>
              <w:snapToGrid w:val="0"/>
              <w:spacing w:line="500" w:lineRule="exact"/>
              <w:ind w:firstLine="482" w:firstLineChars="200"/>
              <w:jc w:val="left"/>
              <w:textAlignment w:val="auto"/>
              <w:rPr>
                <w:b/>
                <w:bCs/>
                <w:kern w:val="0"/>
                <w:sz w:val="24"/>
              </w:rPr>
            </w:pPr>
            <w:r>
              <w:rPr>
                <w:b/>
                <w:bCs/>
                <w:kern w:val="0"/>
                <w:sz w:val="24"/>
              </w:rPr>
              <w:t>1、用地选址相符性分析</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kern w:val="0"/>
                <w:sz w:val="24"/>
              </w:rPr>
              <w:t>本项目位于</w:t>
            </w:r>
            <w:r>
              <w:rPr>
                <w:rFonts w:hint="eastAsia"/>
                <w:sz w:val="24"/>
              </w:rPr>
              <w:t>泰州市医药高新区（高港区）郁金香墙纸公司东侧，永盛路北侧、创新大道南侧、展帆路西侧</w:t>
            </w:r>
            <w:r>
              <w:rPr>
                <w:kern w:val="0"/>
                <w:sz w:val="24"/>
              </w:rPr>
              <w:t>，从事</w:t>
            </w:r>
            <w:r>
              <w:rPr>
                <w:rFonts w:hint="eastAsia"/>
                <w:sz w:val="24"/>
              </w:rPr>
              <w:t>社会公共服务及其他专用设备制造</w:t>
            </w:r>
            <w:r>
              <w:rPr>
                <w:kern w:val="0"/>
                <w:sz w:val="24"/>
              </w:rPr>
              <w:t>，项目用地属于工业用地。本项目不属于国土资源部《限制用地项目目录（2012年本）》和《禁止用地项目目录（2012年本）》、《江苏省限制用地项目目录（2013年本）》和《江苏省禁止用地项目目录（2013年本）》（苏经信产业</w:t>
            </w:r>
            <w:r>
              <w:rPr>
                <w:rFonts w:hint="eastAsia"/>
                <w:kern w:val="0"/>
                <w:sz w:val="24"/>
              </w:rPr>
              <w:t>〔</w:t>
            </w:r>
            <w:r>
              <w:rPr>
                <w:kern w:val="0"/>
                <w:sz w:val="24"/>
              </w:rPr>
              <w:t>2013</w:t>
            </w:r>
            <w:r>
              <w:rPr>
                <w:rFonts w:hint="eastAsia"/>
                <w:kern w:val="0"/>
                <w:sz w:val="24"/>
              </w:rPr>
              <w:t>〕</w:t>
            </w:r>
            <w:r>
              <w:rPr>
                <w:kern w:val="0"/>
                <w:sz w:val="24"/>
              </w:rPr>
              <w:t>183号）中的限制用地、禁止用地项目。</w:t>
            </w:r>
          </w:p>
          <w:p>
            <w:pPr>
              <w:keepNext w:val="0"/>
              <w:keepLines w:val="0"/>
              <w:pageBreakBefore w:val="0"/>
              <w:kinsoku/>
              <w:wordWrap/>
              <w:overflowPunct/>
              <w:topLinePunct w:val="0"/>
              <w:autoSpaceDE/>
              <w:autoSpaceDN/>
              <w:bidi w:val="0"/>
              <w:adjustRightInd w:val="0"/>
              <w:snapToGrid w:val="0"/>
              <w:spacing w:line="500" w:lineRule="exact"/>
              <w:ind w:firstLine="482" w:firstLineChars="200"/>
              <w:jc w:val="left"/>
              <w:textAlignment w:val="auto"/>
              <w:rPr>
                <w:b/>
                <w:bCs/>
                <w:kern w:val="0"/>
                <w:sz w:val="24"/>
              </w:rPr>
            </w:pPr>
            <w:r>
              <w:rPr>
                <w:b/>
                <w:bCs/>
                <w:kern w:val="0"/>
                <w:sz w:val="24"/>
              </w:rPr>
              <w:t>2、产业政策相符性分析</w:t>
            </w:r>
          </w:p>
          <w:p>
            <w:pPr>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kern w:val="0"/>
                <w:sz w:val="24"/>
              </w:rPr>
            </w:pPr>
            <w:r>
              <w:rPr>
                <w:kern w:val="0"/>
                <w:sz w:val="24"/>
              </w:rPr>
              <w:t>本项目属于</w:t>
            </w:r>
            <w:r>
              <w:rPr>
                <w:rFonts w:hint="eastAsia"/>
                <w:kern w:val="0"/>
                <w:sz w:val="24"/>
              </w:rPr>
              <w:t>〔C3595〕</w:t>
            </w:r>
            <w:r>
              <w:rPr>
                <w:rFonts w:hint="eastAsia"/>
                <w:sz w:val="24"/>
              </w:rPr>
              <w:t>社会公共服务及其他专用设备制造</w:t>
            </w:r>
            <w:r>
              <w:rPr>
                <w:kern w:val="0"/>
                <w:sz w:val="24"/>
              </w:rPr>
              <w:t>，不属于《产业结构调整指导目录（2019年本）》中限制类、淘汰类的建设项目；经查询《泰州市产业结构调整指导目录（2016年本）》，本项目不属于其中的限制类和淘汰类。对照《市场准入负面清单（202</w:t>
            </w:r>
            <w:r>
              <w:rPr>
                <w:rFonts w:hint="eastAsia"/>
                <w:kern w:val="0"/>
                <w:sz w:val="24"/>
              </w:rPr>
              <w:t>2</w:t>
            </w:r>
            <w:r>
              <w:rPr>
                <w:kern w:val="0"/>
                <w:sz w:val="24"/>
              </w:rPr>
              <w:t>年版）》可知，本项目不属于该目录中的禁止类、限制类项目。</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kern w:val="0"/>
                <w:sz w:val="24"/>
              </w:rPr>
              <w:t>因此，本项目符合国家和地方相关产业政策。</w:t>
            </w:r>
          </w:p>
          <w:p>
            <w:pPr>
              <w:keepNext w:val="0"/>
              <w:keepLines w:val="0"/>
              <w:pageBreakBefore w:val="0"/>
              <w:numPr>
                <w:ilvl w:val="0"/>
                <w:numId w:val="4"/>
              </w:numPr>
              <w:kinsoku/>
              <w:wordWrap/>
              <w:overflowPunct/>
              <w:topLinePunct w:val="0"/>
              <w:autoSpaceDE/>
              <w:autoSpaceDN/>
              <w:bidi w:val="0"/>
              <w:adjustRightInd w:val="0"/>
              <w:snapToGrid w:val="0"/>
              <w:spacing w:line="500" w:lineRule="exact"/>
              <w:ind w:firstLine="482" w:firstLineChars="200"/>
              <w:jc w:val="left"/>
              <w:textAlignment w:val="auto"/>
              <w:rPr>
                <w:b/>
                <w:bCs/>
                <w:kern w:val="0"/>
                <w:sz w:val="24"/>
              </w:rPr>
            </w:pPr>
            <w:r>
              <w:rPr>
                <w:rFonts w:hint="eastAsia"/>
                <w:b/>
                <w:bCs/>
                <w:color w:val="0000FF"/>
                <w:kern w:val="0"/>
                <w:sz w:val="24"/>
                <w:lang w:eastAsia="zh-CN"/>
              </w:rPr>
              <w:t>“</w:t>
            </w:r>
            <w:r>
              <w:rPr>
                <w:b/>
                <w:bCs/>
                <w:kern w:val="0"/>
                <w:sz w:val="24"/>
              </w:rPr>
              <w:t>三线一单</w:t>
            </w:r>
            <w:r>
              <w:rPr>
                <w:rFonts w:hint="eastAsia"/>
                <w:b/>
                <w:bCs/>
                <w:color w:val="0000FF"/>
                <w:kern w:val="0"/>
                <w:sz w:val="24"/>
                <w:lang w:eastAsia="zh-CN"/>
              </w:rPr>
              <w:t>”</w:t>
            </w:r>
            <w:r>
              <w:rPr>
                <w:b/>
                <w:bCs/>
                <w:kern w:val="0"/>
                <w:sz w:val="24"/>
              </w:rPr>
              <w:t>相符性分析</w:t>
            </w:r>
          </w:p>
          <w:p>
            <w:pPr>
              <w:keepNext w:val="0"/>
              <w:keepLines w:val="0"/>
              <w:pageBreakBefore w:val="0"/>
              <w:kinsoku/>
              <w:wordWrap/>
              <w:overflowPunct/>
              <w:topLinePunct w:val="0"/>
              <w:autoSpaceDE/>
              <w:autoSpaceDN/>
              <w:bidi w:val="0"/>
              <w:adjustRightInd w:val="0"/>
              <w:snapToGrid w:val="0"/>
              <w:spacing w:line="500" w:lineRule="exact"/>
              <w:ind w:firstLine="240" w:firstLineChars="100"/>
              <w:jc w:val="left"/>
              <w:textAlignment w:val="auto"/>
              <w:rPr>
                <w:kern w:val="0"/>
                <w:sz w:val="24"/>
              </w:rPr>
            </w:pPr>
            <w:r>
              <w:rPr>
                <w:rFonts w:hint="eastAsia"/>
                <w:kern w:val="0"/>
                <w:sz w:val="24"/>
              </w:rPr>
              <w:t>（1）</w:t>
            </w:r>
            <w:r>
              <w:rPr>
                <w:kern w:val="0"/>
                <w:sz w:val="24"/>
              </w:rPr>
              <w:t>生态保护红线</w:t>
            </w:r>
          </w:p>
          <w:p>
            <w:pPr>
              <w:pStyle w:val="61"/>
              <w:keepNext w:val="0"/>
              <w:keepLines w:val="0"/>
              <w:pageBreakBefore w:val="0"/>
              <w:kinsoku/>
              <w:wordWrap/>
              <w:overflowPunct/>
              <w:topLinePunct w:val="0"/>
              <w:autoSpaceDE/>
              <w:autoSpaceDN/>
              <w:bidi w:val="0"/>
              <w:adjustRightInd w:val="0"/>
              <w:snapToGrid w:val="0"/>
              <w:spacing w:line="500" w:lineRule="exact"/>
              <w:ind w:firstLine="480"/>
              <w:jc w:val="both"/>
              <w:textAlignment w:val="auto"/>
              <w:rPr>
                <w:color w:val="000000" w:themeColor="text1"/>
                <w14:textFill>
                  <w14:solidFill>
                    <w14:schemeClr w14:val="tx1"/>
                  </w14:solidFill>
                </w14:textFill>
              </w:rPr>
            </w:pPr>
            <w:r>
              <w:rPr>
                <w:bCs w:val="0"/>
                <w:color w:val="000000" w:themeColor="text1"/>
                <w14:textFill>
                  <w14:solidFill>
                    <w14:schemeClr w14:val="tx1"/>
                  </w14:solidFill>
                </w14:textFill>
              </w:rPr>
              <w:t>项目</w:t>
            </w:r>
            <w:r>
              <w:rPr>
                <w:color w:val="000000" w:themeColor="text1"/>
                <w:kern w:val="0"/>
                <w14:textFill>
                  <w14:solidFill>
                    <w14:schemeClr w14:val="tx1"/>
                  </w14:solidFill>
                </w14:textFill>
              </w:rPr>
              <w:t>位于</w:t>
            </w:r>
            <w:r>
              <w:rPr>
                <w:rFonts w:hint="eastAsia"/>
                <w:color w:val="000000"/>
              </w:rPr>
              <w:t>泰州市医药高新区（高港区）郁金香墙纸公司东侧，永盛路北侧、创新大道南侧、展帆路西侧</w:t>
            </w:r>
            <w:r>
              <w:rPr>
                <w:color w:val="000000" w:themeColor="text1"/>
                <w14:textFill>
                  <w14:solidFill>
                    <w14:schemeClr w14:val="tx1"/>
                  </w14:solidFill>
                </w14:textFill>
              </w:rPr>
              <w:t>，根据《江苏省生态空间管控区域规划》、《江苏省国家级生态保护红线规划》和《泰州市高港区生态空间管控区域调整方案》，本项目所在地附近主要生态空间管控区域最近的为南官河（高新区）清水通道维护区。经现场勘查，本项目距南官河（高新区）清水通道维护区约3800m，不会导致辖区内生态红线区域生态服务功能下降，因此，符合江苏省及国家生态保护红线规划。</w:t>
            </w:r>
          </w:p>
          <w:p>
            <w:pPr>
              <w:pStyle w:val="61"/>
              <w:keepNext w:val="0"/>
              <w:keepLines w:val="0"/>
              <w:pageBreakBefore w:val="0"/>
              <w:kinsoku/>
              <w:wordWrap/>
              <w:overflowPunct/>
              <w:topLinePunct w:val="0"/>
              <w:autoSpaceDE/>
              <w:autoSpaceDN/>
              <w:bidi w:val="0"/>
              <w:adjustRightInd w:val="0"/>
              <w:snapToGrid w:val="0"/>
              <w:spacing w:line="500" w:lineRule="exact"/>
              <w:ind w:firstLine="480"/>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t>综上所述，本项目不在上述国家级生态保护红线、生态空间管控区域内，符合《江苏省生态空间管控区域规划》、《江苏省国家级生态保护红线规划》和《泰州市高港区生态空间管控区域调整方案》的要求。</w:t>
            </w:r>
          </w:p>
          <w:p>
            <w:pPr>
              <w:keepNext w:val="0"/>
              <w:keepLines w:val="0"/>
              <w:pageBreakBefore w:val="0"/>
              <w:widowControl/>
              <w:kinsoku/>
              <w:wordWrap/>
              <w:overflowPunct/>
              <w:topLinePunct w:val="0"/>
              <w:autoSpaceDE/>
              <w:autoSpaceDN/>
              <w:bidi w:val="0"/>
              <w:jc w:val="center"/>
              <w:textAlignment w:val="auto"/>
              <w:rPr>
                <w:rFonts w:ascii="宋体" w:hAnsi="宋体" w:cs="宋体"/>
                <w:b/>
                <w:bCs/>
                <w:color w:val="000000"/>
                <w:kern w:val="0"/>
                <w:szCs w:val="21"/>
                <w:lang w:bidi="ar"/>
              </w:rPr>
            </w:pP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eastAsia="宋体"/>
                <w:kern w:val="0"/>
                <w:sz w:val="24"/>
                <w:lang w:eastAsia="zh-CN"/>
              </w:rPr>
            </w:pPr>
            <w:r>
              <w:rPr>
                <w:rFonts w:hint="eastAsia"/>
                <w:kern w:val="0"/>
                <w:sz w:val="24"/>
              </w:rPr>
              <w:t>（2）环境质量底线</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kern w:val="0"/>
                <w:sz w:val="24"/>
              </w:rPr>
              <w:t>①地表水环境</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kern w:val="0"/>
                <w:sz w:val="24"/>
              </w:rPr>
              <w:t>本项目产生的员工</w:t>
            </w:r>
            <w:r>
              <w:rPr>
                <w:color w:val="0000FF"/>
                <w:kern w:val="0"/>
                <w:sz w:val="24"/>
              </w:rPr>
              <w:t>生活污水</w:t>
            </w:r>
            <w:r>
              <w:rPr>
                <w:rFonts w:hint="eastAsia"/>
                <w:color w:val="0000FF"/>
                <w:kern w:val="0"/>
                <w:sz w:val="24"/>
                <w:lang w:val="en-US" w:eastAsia="zh-CN"/>
              </w:rPr>
              <w:t>经</w:t>
            </w:r>
            <w:r>
              <w:rPr>
                <w:color w:val="0000FF"/>
                <w:kern w:val="0"/>
                <w:sz w:val="24"/>
              </w:rPr>
              <w:t>化粪池收集后经园区污水管网进江苏港城污水处理有限公司集中处理</w:t>
            </w:r>
            <w:r>
              <w:rPr>
                <w:kern w:val="0"/>
                <w:sz w:val="24"/>
              </w:rPr>
              <w:t>，尾水经盘头中沟排入长江。根据项目引用的长江水环境质量现状监测数据（见下表3-</w:t>
            </w:r>
            <w:r>
              <w:rPr>
                <w:rFonts w:hint="eastAsia"/>
                <w:kern w:val="0"/>
                <w:sz w:val="24"/>
              </w:rPr>
              <w:t>5</w:t>
            </w:r>
            <w:r>
              <w:rPr>
                <w:kern w:val="0"/>
                <w:sz w:val="24"/>
              </w:rPr>
              <w:t>），长江水环境质量能满足《地表水环境质量标准》（GB3838-2002）中Ⅱ类水标准要求。</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kern w:val="0"/>
                <w:sz w:val="24"/>
              </w:rPr>
              <w:t>②大气环境</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rFonts w:hint="eastAsia"/>
                <w:kern w:val="0"/>
                <w:sz w:val="24"/>
              </w:rPr>
              <w:t>根据《2022年泰州市环境状况公报》，本项目所在区域为环境空气质量为不达标区。目前泰州市正在编制大气环境达标规划，其达标规划目标为</w:t>
            </w:r>
            <w:r>
              <w:rPr>
                <w:rFonts w:hint="eastAsia"/>
                <w:kern w:val="0"/>
                <w:sz w:val="24"/>
                <w:lang w:eastAsia="zh-CN"/>
              </w:rPr>
              <w:t>“</w:t>
            </w:r>
            <w:r>
              <w:rPr>
                <w:rFonts w:hint="eastAsia"/>
                <w:kern w:val="0"/>
                <w:sz w:val="24"/>
              </w:rPr>
              <w:t>PM2.5浓度以2018年监测数据为基础，通过规划的实施，分近、远期逐步削减大气污染物排放量，以细颗粒物年均浓度达标为核心，全面改善环境空气质量，2025年实现全市环境空气质量达标。到2025年，环境空气质量六项指标（PM2.5、PM10、SO</w:t>
            </w:r>
            <w:r>
              <w:rPr>
                <w:rFonts w:hint="eastAsia"/>
                <w:kern w:val="0"/>
                <w:sz w:val="24"/>
                <w:vertAlign w:val="subscript"/>
              </w:rPr>
              <w:t>2</w:t>
            </w:r>
            <w:r>
              <w:rPr>
                <w:rFonts w:hint="eastAsia"/>
                <w:kern w:val="0"/>
                <w:sz w:val="24"/>
              </w:rPr>
              <w:t>、NO</w:t>
            </w:r>
            <w:r>
              <w:rPr>
                <w:rFonts w:hint="eastAsia"/>
                <w:kern w:val="0"/>
                <w:sz w:val="24"/>
                <w:vertAlign w:val="subscript"/>
              </w:rPr>
              <w:t>2</w:t>
            </w:r>
            <w:r>
              <w:rPr>
                <w:rFonts w:hint="eastAsia"/>
                <w:kern w:val="0"/>
                <w:sz w:val="24"/>
              </w:rPr>
              <w:t>、O</w:t>
            </w:r>
            <w:r>
              <w:rPr>
                <w:rFonts w:hint="eastAsia"/>
                <w:kern w:val="0"/>
                <w:sz w:val="24"/>
                <w:vertAlign w:val="subscript"/>
              </w:rPr>
              <w:t>3</w:t>
            </w:r>
            <w:r>
              <w:rPr>
                <w:rFonts w:hint="eastAsia"/>
                <w:kern w:val="0"/>
                <w:sz w:val="24"/>
              </w:rPr>
              <w:t>-8h、CO）年均浓度均达标，PM2.5低于35</w:t>
            </w:r>
            <w:r>
              <w:rPr>
                <w:rFonts w:hint="default" w:ascii="Times New Roman" w:hAnsi="Times New Roman" w:cs="Times New Roman"/>
                <w:color w:val="0000FF"/>
                <w:kern w:val="0"/>
                <w:sz w:val="24"/>
              </w:rPr>
              <w:t>μg</w:t>
            </w:r>
            <w:r>
              <w:rPr>
                <w:rFonts w:hint="eastAsia"/>
                <w:kern w:val="0"/>
                <w:sz w:val="24"/>
              </w:rPr>
              <w:t>/m</w:t>
            </w:r>
            <w:r>
              <w:rPr>
                <w:rFonts w:hint="eastAsia"/>
                <w:kern w:val="0"/>
                <w:sz w:val="24"/>
                <w:vertAlign w:val="superscript"/>
              </w:rPr>
              <w:t>3</w:t>
            </w:r>
            <w:r>
              <w:rPr>
                <w:rFonts w:hint="eastAsia"/>
                <w:kern w:val="0"/>
                <w:sz w:val="24"/>
              </w:rPr>
              <w:t>，空气质量优良天数保持大于320天。</w:t>
            </w:r>
            <w:r>
              <w:rPr>
                <w:rFonts w:hint="eastAsia"/>
                <w:kern w:val="0"/>
                <w:sz w:val="24"/>
                <w:lang w:eastAsia="zh-CN"/>
              </w:rPr>
              <w:t>”</w:t>
            </w:r>
            <w:r>
              <w:rPr>
                <w:rFonts w:hint="eastAsia"/>
                <w:kern w:val="0"/>
                <w:sz w:val="24"/>
              </w:rPr>
              <w:t>。</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kern w:val="0"/>
                <w:sz w:val="24"/>
              </w:rPr>
              <w:t>③声环境</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kern w:val="0"/>
                <w:sz w:val="24"/>
              </w:rPr>
              <w:t>根据本项目所在地声环境质量监测报告</w:t>
            </w:r>
            <w:r>
              <w:rPr>
                <w:rFonts w:hint="eastAsia"/>
                <w:kern w:val="0"/>
                <w:sz w:val="24"/>
              </w:rPr>
              <w:t>（见下表3-</w:t>
            </w:r>
            <w:r>
              <w:rPr>
                <w:rFonts w:hint="eastAsia"/>
                <w:color w:val="0000FF"/>
                <w:kern w:val="0"/>
                <w:sz w:val="24"/>
                <w:lang w:val="en-US" w:eastAsia="zh-CN"/>
              </w:rPr>
              <w:t>6</w:t>
            </w:r>
            <w:r>
              <w:rPr>
                <w:rFonts w:hint="eastAsia"/>
                <w:kern w:val="0"/>
                <w:sz w:val="24"/>
              </w:rPr>
              <w:t>）</w:t>
            </w:r>
            <w:r>
              <w:rPr>
                <w:kern w:val="0"/>
                <w:sz w:val="24"/>
              </w:rPr>
              <w:t>，所在地声环境质量能达《声环境质量标准》（GB3096-2008）</w:t>
            </w:r>
            <w:r>
              <w:rPr>
                <w:rFonts w:hint="eastAsia"/>
                <w:kern w:val="0"/>
                <w:sz w:val="24"/>
              </w:rPr>
              <w:t>3</w:t>
            </w:r>
            <w:r>
              <w:rPr>
                <w:kern w:val="0"/>
                <w:sz w:val="24"/>
              </w:rPr>
              <w:t>类区标准要求。本项目在运营过程中产生的噪声经隔声防治措施到位的情况下，厂界噪声能达到相关标准，对评价区域内环境保护目标影响较小。</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kern w:val="0"/>
                <w:sz w:val="24"/>
              </w:rPr>
              <w:t>符合性分析：本项目周边地表水、声环境质量达到相应环境质量目标要求。大气环境质量超标，随着达标规划措施的推进，不达标区将逐步转变为达标区。根据环境影响分析，若能依照本环评要求的措施合理处置各项污染物，本项目污染均可达标排放，不会导致所在区域环境质量降级。</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rFonts w:hint="eastAsia"/>
                <w:kern w:val="0"/>
                <w:sz w:val="24"/>
              </w:rPr>
              <w:t>（3）资源利用上线</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rFonts w:hint="eastAsia"/>
                <w:kern w:val="0"/>
                <w:sz w:val="24"/>
              </w:rPr>
              <w:t>项目用水由当地的自来水部门供给，用电来自当地供电网，本项目的用水、用电不会对自来水厂和供电单位产生负担。本项目选址位于泰州市医药高新区（高港区）郁金香墙纸公司东侧，永盛路北侧、创新大道南侧、展帆路西侧，项目用地性质为工业用地，符合用地规划。因此本项目不会超出资源利用上线。</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rFonts w:hint="eastAsia"/>
                <w:kern w:val="0"/>
                <w:sz w:val="24"/>
              </w:rPr>
              <w:t>（4）环境准入清单</w:t>
            </w:r>
          </w:p>
          <w:p>
            <w:pPr>
              <w:keepNext w:val="0"/>
              <w:keepLines w:val="0"/>
              <w:pageBreakBefore w:val="0"/>
              <w:kinsoku/>
              <w:wordWrap/>
              <w:overflowPunct/>
              <w:topLinePunct w:val="0"/>
              <w:autoSpaceDE/>
              <w:autoSpaceDN/>
              <w:bidi w:val="0"/>
              <w:adjustRightInd w:val="0"/>
              <w:snapToGrid w:val="0"/>
              <w:spacing w:line="500" w:lineRule="exact"/>
              <w:ind w:firstLine="480" w:firstLineChars="200"/>
              <w:jc w:val="left"/>
              <w:textAlignment w:val="auto"/>
              <w:rPr>
                <w:kern w:val="0"/>
                <w:sz w:val="24"/>
              </w:rPr>
            </w:pPr>
            <w:r>
              <w:rPr>
                <w:kern w:val="0"/>
                <w:sz w:val="24"/>
              </w:rPr>
              <w:t>江苏泰州港经济开发区环境准入清单如下，具体见表1-</w:t>
            </w:r>
            <w:r>
              <w:rPr>
                <w:rFonts w:hint="eastAsia"/>
                <w:kern w:val="0"/>
                <w:sz w:val="24"/>
              </w:rPr>
              <w:t>3</w:t>
            </w:r>
            <w:r>
              <w:rPr>
                <w:kern w:val="0"/>
                <w:sz w:val="24"/>
              </w:rPr>
              <w:t>。</w:t>
            </w:r>
          </w:p>
          <w:p>
            <w:pPr>
              <w:keepNext w:val="0"/>
              <w:keepLines w:val="0"/>
              <w:pageBreakBefore w:val="0"/>
              <w:widowControl/>
              <w:kinsoku/>
              <w:wordWrap/>
              <w:overflowPunct/>
              <w:topLinePunct w:val="0"/>
              <w:autoSpaceDE/>
              <w:autoSpaceDN/>
              <w:bidi w:val="0"/>
              <w:adjustRightInd/>
              <w:snapToGrid/>
              <w:spacing w:before="157" w:beforeLines="50" w:after="157" w:afterLines="50"/>
              <w:jc w:val="center"/>
              <w:textAlignment w:val="auto"/>
              <w:rPr>
                <w:rFonts w:hint="default" w:eastAsia="宋体"/>
                <w:b/>
                <w:color w:val="000000" w:themeColor="text1"/>
                <w:szCs w:val="21"/>
                <w:lang w:val="en-US" w:eastAsia="zh-CN"/>
                <w14:textFill>
                  <w14:solidFill>
                    <w14:schemeClr w14:val="tx1"/>
                  </w14:solidFill>
                </w14:textFill>
              </w:rPr>
            </w:pPr>
            <w:r>
              <w:rPr>
                <w:b/>
                <w:color w:val="000000" w:themeColor="text1"/>
                <w:szCs w:val="21"/>
                <w14:textFill>
                  <w14:solidFill>
                    <w14:schemeClr w14:val="tx1"/>
                  </w14:solidFill>
                </w14:textFill>
              </w:rPr>
              <w:t>表1-</w:t>
            </w:r>
            <w:r>
              <w:rPr>
                <w:rFonts w:hint="eastAsia"/>
                <w:b/>
                <w:color w:val="000000" w:themeColor="text1"/>
                <w:szCs w:val="21"/>
                <w14:textFill>
                  <w14:solidFill>
                    <w14:schemeClr w14:val="tx1"/>
                  </w14:solidFill>
                </w14:textFill>
              </w:rPr>
              <w:t>3</w:t>
            </w:r>
            <w:r>
              <w:rPr>
                <w:b/>
                <w:color w:val="000000" w:themeColor="text1"/>
                <w:szCs w:val="21"/>
                <w14:textFill>
                  <w14:solidFill>
                    <w14:schemeClr w14:val="tx1"/>
                  </w14:solidFill>
                </w14:textFill>
              </w:rPr>
              <w:t>江苏泰州港经济开发区生态环境准入清单</w:t>
            </w:r>
            <w:r>
              <w:rPr>
                <w:rFonts w:hint="eastAsia"/>
                <w:b/>
                <w:color w:val="0000FF"/>
                <w:szCs w:val="21"/>
                <w:lang w:val="en-US" w:eastAsia="zh-CN"/>
              </w:rPr>
              <w:t>相符性分析</w:t>
            </w:r>
          </w:p>
          <w:tbl>
            <w:tblPr>
              <w:tblStyle w:val="34"/>
              <w:tblW w:w="784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483"/>
              <w:gridCol w:w="4281"/>
              <w:gridCol w:w="15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996" w:type="pct"/>
                  <w:gridSpan w:val="4"/>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b/>
                      <w:bCs/>
                      <w:sz w:val="21"/>
                      <w:szCs w:val="21"/>
                    </w:rPr>
                  </w:pPr>
                  <w:r>
                    <w:rPr>
                      <w:b/>
                      <w:bCs/>
                      <w:sz w:val="21"/>
                      <w:szCs w:val="21"/>
                    </w:rPr>
                    <w:t>高港高新技术产业园区总体规划（2016-2020）环境影响报告书（不含省级开发区）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4" w:type="pct"/>
                  <w:gridSpan w:val="2"/>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b/>
                      <w:bCs/>
                      <w:sz w:val="21"/>
                      <w:szCs w:val="21"/>
                    </w:rPr>
                  </w:pPr>
                  <w:r>
                    <w:rPr>
                      <w:b/>
                      <w:bCs/>
                      <w:sz w:val="21"/>
                      <w:szCs w:val="21"/>
                    </w:rPr>
                    <w:t>产业类别</w:t>
                  </w:r>
                </w:p>
              </w:tc>
              <w:tc>
                <w:tcPr>
                  <w:tcW w:w="2726"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b/>
                      <w:bCs/>
                      <w:sz w:val="21"/>
                      <w:szCs w:val="21"/>
                    </w:rPr>
                  </w:pPr>
                  <w:r>
                    <w:rPr>
                      <w:b/>
                      <w:bCs/>
                      <w:sz w:val="21"/>
                      <w:szCs w:val="21"/>
                    </w:rPr>
                    <w:t>准入内容</w:t>
                  </w:r>
                </w:p>
              </w:tc>
              <w:tc>
                <w:tcPr>
                  <w:tcW w:w="985"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b/>
                      <w:bCs/>
                      <w:sz w:val="21"/>
                      <w:szCs w:val="21"/>
                    </w:rPr>
                  </w:pPr>
                  <w:r>
                    <w:rPr>
                      <w:b/>
                      <w:bCs/>
                      <w:sz w:val="21"/>
                      <w:szCs w:val="21"/>
                    </w:rPr>
                    <w:t>本项目情况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0"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机械制造</w:t>
                  </w:r>
                </w:p>
              </w:tc>
              <w:tc>
                <w:tcPr>
                  <w:tcW w:w="943"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汽车整车及零部件制造；通用设备制造；专用设备制造；电气机械及器材制造等</w:t>
                  </w:r>
                </w:p>
              </w:tc>
              <w:tc>
                <w:tcPr>
                  <w:tcW w:w="2726"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限制发展：挥发性有机物污染治理措施达不到《挥发性有机物（VOCs）污染防治技术政策》、《江苏省重点行业挥发性有机物污染控制指南》、江苏省及泰州市</w:t>
                  </w:r>
                  <w:r>
                    <w:rPr>
                      <w:rFonts w:hint="eastAsia"/>
                      <w:color w:val="0000FF"/>
                      <w:sz w:val="21"/>
                      <w:szCs w:val="21"/>
                      <w:lang w:eastAsia="zh-CN"/>
                    </w:rPr>
                    <w:t>“</w:t>
                  </w:r>
                  <w:r>
                    <w:rPr>
                      <w:sz w:val="21"/>
                      <w:szCs w:val="21"/>
                    </w:rPr>
                    <w:t>263</w:t>
                  </w:r>
                  <w:r>
                    <w:rPr>
                      <w:rFonts w:hint="eastAsia"/>
                      <w:color w:val="0000FF"/>
                      <w:sz w:val="21"/>
                      <w:szCs w:val="21"/>
                      <w:lang w:eastAsia="zh-CN"/>
                    </w:rPr>
                    <w:t>”</w:t>
                  </w:r>
                  <w:r>
                    <w:rPr>
                      <w:sz w:val="21"/>
                      <w:szCs w:val="21"/>
                    </w:rPr>
                    <w:t>专项行动实施方案等要求；</w:t>
                  </w:r>
                </w:p>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禁止发展：专业电镀项目（含电镀工序机械加工项目除外）；电镀和阳极氧化工序清洁生产水平达不到《电镀行业清洁生产评价指标体系》中Ⅱ级要求；露天和敞开式喷涂作业（工艺有特殊要求除外）；铅蓄电池制造；晶硅铸锭/拉棒/切割工序；电池制造清洁生产水平达不到《电池行业清洁生产评价指标体系》中Ⅱ级要求；燃煤、燃重油项目；</w:t>
                  </w:r>
                </w:p>
              </w:tc>
              <w:tc>
                <w:tcPr>
                  <w:tcW w:w="985" w:type="pct"/>
                  <w:vMerge w:val="restar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rFonts w:hint="eastAsia"/>
                      <w:color w:val="0000FF"/>
                      <w:sz w:val="21"/>
                      <w:szCs w:val="21"/>
                      <w:lang w:val="en-US" w:eastAsia="zh-CN"/>
                    </w:rPr>
                    <w:t>本</w:t>
                  </w:r>
                  <w:r>
                    <w:rPr>
                      <w:sz w:val="21"/>
                      <w:szCs w:val="21"/>
                    </w:rPr>
                    <w:t>项目</w:t>
                  </w:r>
                  <w:r>
                    <w:rPr>
                      <w:rFonts w:hint="eastAsia"/>
                      <w:color w:val="0000FF"/>
                      <w:sz w:val="21"/>
                      <w:szCs w:val="21"/>
                      <w:lang w:val="en-US" w:eastAsia="zh-CN"/>
                    </w:rPr>
                    <w:t>属于</w:t>
                  </w:r>
                  <w:r>
                    <w:rPr>
                      <w:rFonts w:hint="eastAsia"/>
                      <w:sz w:val="21"/>
                      <w:szCs w:val="21"/>
                    </w:rPr>
                    <w:t>社会公共服务及其他专用设备制造</w:t>
                  </w:r>
                  <w:r>
                    <w:rPr>
                      <w:sz w:val="21"/>
                      <w:szCs w:val="21"/>
                    </w:rPr>
                    <w:t>项目，不涉及上述行业及相关工艺项目；</w:t>
                  </w:r>
                  <w:r>
                    <w:rPr>
                      <w:rFonts w:hint="eastAsia"/>
                      <w:sz w:val="21"/>
                      <w:szCs w:val="21"/>
                    </w:rPr>
                    <w:t>挥发性有机</w:t>
                  </w:r>
                  <w:r>
                    <w:rPr>
                      <w:sz w:val="21"/>
                      <w:szCs w:val="21"/>
                    </w:rPr>
                    <w:t>废气收集后通过二级活性炭装置处理达标排放，符合负面清单要求。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0"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电子信息</w:t>
                  </w:r>
                </w:p>
              </w:tc>
              <w:tc>
                <w:tcPr>
                  <w:tcW w:w="943"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电子产品制造；电子专用材料等</w:t>
                  </w:r>
                </w:p>
              </w:tc>
              <w:tc>
                <w:tcPr>
                  <w:tcW w:w="2726"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限制发展：挥发性有机物污染治理措施达不到《挥发性有机物（VOCs）污染防治技术政策》、《江苏省重点行业挥发性有机物污染控制指南》、江苏省及泰州市</w:t>
                  </w:r>
                  <w:r>
                    <w:rPr>
                      <w:rFonts w:hint="eastAsia"/>
                      <w:color w:val="0000FF"/>
                      <w:sz w:val="21"/>
                      <w:szCs w:val="21"/>
                      <w:lang w:eastAsia="zh-CN"/>
                    </w:rPr>
                    <w:t>“</w:t>
                  </w:r>
                  <w:r>
                    <w:rPr>
                      <w:sz w:val="21"/>
                      <w:szCs w:val="21"/>
                    </w:rPr>
                    <w:t>263</w:t>
                  </w:r>
                  <w:r>
                    <w:rPr>
                      <w:rFonts w:hint="eastAsia"/>
                      <w:color w:val="0000FF"/>
                      <w:sz w:val="21"/>
                      <w:szCs w:val="21"/>
                      <w:lang w:eastAsia="zh-CN"/>
                    </w:rPr>
                    <w:t>”</w:t>
                  </w:r>
                  <w:r>
                    <w:rPr>
                      <w:sz w:val="21"/>
                      <w:szCs w:val="21"/>
                    </w:rPr>
                    <w:t>专项行动实施方案等要求；</w:t>
                  </w:r>
                </w:p>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禁止发展：专业电镀项目（含电镀工序的新型电子元器件项目除外）；电镀和阳极氧化工序清洁生产水平达不到《电镀行业清洁生产评价指标体系》中Ⅱ级要求；露天和敞开式喷涂作业（工艺有特殊要求除外）；燃煤、燃重油项目；</w:t>
                  </w:r>
                </w:p>
              </w:tc>
              <w:tc>
                <w:tcPr>
                  <w:tcW w:w="985" w:type="pct"/>
                  <w:vMerge w:val="continue"/>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0"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家居建材</w:t>
                  </w:r>
                </w:p>
              </w:tc>
              <w:tc>
                <w:tcPr>
                  <w:tcW w:w="943"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壁纸生产；木制品等装饰材料等</w:t>
                  </w:r>
                </w:p>
              </w:tc>
              <w:tc>
                <w:tcPr>
                  <w:tcW w:w="2726"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限制发展：挥发性有机物污染治理措施达不到《挥发性有机物（VOCs）污染防治技术政策》、《江苏省重点行业挥发性有机物污染控制指南》、江苏省及泰州市</w:t>
                  </w:r>
                  <w:r>
                    <w:rPr>
                      <w:rFonts w:hint="eastAsia"/>
                      <w:color w:val="0000FF"/>
                      <w:sz w:val="21"/>
                      <w:szCs w:val="21"/>
                      <w:lang w:eastAsia="zh-CN"/>
                    </w:rPr>
                    <w:t>“</w:t>
                  </w:r>
                  <w:r>
                    <w:rPr>
                      <w:sz w:val="21"/>
                      <w:szCs w:val="21"/>
                    </w:rPr>
                    <w:t>263</w:t>
                  </w:r>
                  <w:r>
                    <w:rPr>
                      <w:rFonts w:hint="eastAsia"/>
                      <w:color w:val="0000FF"/>
                      <w:sz w:val="21"/>
                      <w:szCs w:val="21"/>
                      <w:lang w:eastAsia="zh-CN"/>
                    </w:rPr>
                    <w:t>”</w:t>
                  </w:r>
                  <w:r>
                    <w:rPr>
                      <w:sz w:val="21"/>
                      <w:szCs w:val="21"/>
                    </w:rPr>
                    <w:t>专项行动实施方案等要求；</w:t>
                  </w:r>
                </w:p>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禁止发展：露天和敞开式喷涂作业（工艺有特殊要求除外）；燃煤、燃重油项目</w:t>
                  </w:r>
                </w:p>
              </w:tc>
              <w:tc>
                <w:tcPr>
                  <w:tcW w:w="985" w:type="pct"/>
                  <w:vMerge w:val="continue"/>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0"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生命健康</w:t>
                  </w:r>
                </w:p>
              </w:tc>
              <w:tc>
                <w:tcPr>
                  <w:tcW w:w="943"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食品加工；酒和饮料制造中药加工；单纯药品的分装及复配；卫生材料及医药用品制造</w:t>
                  </w:r>
                </w:p>
              </w:tc>
              <w:tc>
                <w:tcPr>
                  <w:tcW w:w="2726"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限制发展：未采用全封闭发酵工艺；</w:t>
                  </w:r>
                </w:p>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禁止发展：植物油浸出、精制；原糖生产；屠宰；含酿造工艺项目；发酵、提炼废气不能有效收集处理的项目；发酵工艺清洁生产水平达不到《发酵行业清洁生产评价指标体系》中Ⅱ级要求；燃煤、燃重油项目</w:t>
                  </w:r>
                </w:p>
              </w:tc>
              <w:tc>
                <w:tcPr>
                  <w:tcW w:w="985" w:type="pct"/>
                  <w:vMerge w:val="continue"/>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4" w:type="pct"/>
                  <w:gridSpan w:val="2"/>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其他</w:t>
                  </w:r>
                </w:p>
              </w:tc>
              <w:tc>
                <w:tcPr>
                  <w:tcW w:w="2726"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限制发展：其他非本园区主导产业；</w:t>
                  </w:r>
                </w:p>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禁止发展：化工、石化、化纤、印染、制革、制浆、</w:t>
                  </w:r>
                  <w:r>
                    <w:rPr>
                      <w:rFonts w:hint="eastAsia"/>
                      <w:color w:val="0000FF"/>
                      <w:sz w:val="21"/>
                      <w:szCs w:val="21"/>
                      <w:lang w:eastAsia="zh-CN"/>
                    </w:rPr>
                    <w:t>冶炼</w:t>
                  </w:r>
                  <w:r>
                    <w:rPr>
                      <w:sz w:val="21"/>
                      <w:szCs w:val="21"/>
                    </w:rPr>
                    <w:t>、焦化钢铁、水泥、平板玻璃等重污染项目。</w:t>
                  </w:r>
                </w:p>
              </w:tc>
              <w:tc>
                <w:tcPr>
                  <w:tcW w:w="985" w:type="pct"/>
                  <w:vMerge w:val="continue"/>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96" w:type="pct"/>
                  <w:gridSpan w:val="4"/>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rFonts w:hint="default" w:eastAsia="宋体"/>
                      <w:sz w:val="21"/>
                      <w:szCs w:val="21"/>
                      <w:lang w:val="en-US" w:eastAsia="zh-CN"/>
                    </w:rPr>
                  </w:pPr>
                  <w:r>
                    <w:rPr>
                      <w:sz w:val="21"/>
                      <w:szCs w:val="21"/>
                    </w:rPr>
                    <w:t>其他负面清单</w:t>
                  </w:r>
                  <w:r>
                    <w:rPr>
                      <w:rFonts w:hint="eastAsia"/>
                      <w:color w:val="0000FF"/>
                      <w:sz w:val="21"/>
                      <w:szCs w:val="21"/>
                      <w:lang w:val="en-US" w:eastAsia="zh-CN"/>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4" w:type="pct"/>
                  <w:gridSpan w:val="2"/>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bCs/>
                      <w:sz w:val="21"/>
                      <w:szCs w:val="21"/>
                    </w:rPr>
                  </w:pPr>
                  <w:r>
                    <w:rPr>
                      <w:bCs/>
                      <w:sz w:val="21"/>
                      <w:szCs w:val="21"/>
                    </w:rPr>
                    <w:t>文件</w:t>
                  </w:r>
                </w:p>
              </w:tc>
              <w:tc>
                <w:tcPr>
                  <w:tcW w:w="2726"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内容</w:t>
                  </w:r>
                </w:p>
              </w:tc>
              <w:tc>
                <w:tcPr>
                  <w:tcW w:w="985"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4" w:type="pct"/>
                  <w:gridSpan w:val="2"/>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bCs/>
                      <w:sz w:val="21"/>
                      <w:szCs w:val="21"/>
                    </w:rPr>
                    <w:t>《市场准入负面清单（2022年版）》</w:t>
                  </w:r>
                </w:p>
              </w:tc>
              <w:tc>
                <w:tcPr>
                  <w:tcW w:w="2726"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w:t>
                  </w:r>
                </w:p>
              </w:tc>
              <w:tc>
                <w:tcPr>
                  <w:tcW w:w="985" w:type="pct"/>
                  <w:vMerge w:val="restar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rFonts w:hint="eastAsia"/>
                      <w:bCs/>
                      <w:color w:val="0000FF"/>
                      <w:sz w:val="21"/>
                      <w:szCs w:val="21"/>
                      <w:lang w:val="en-US" w:eastAsia="zh-CN"/>
                    </w:rPr>
                    <w:t>本</w:t>
                  </w:r>
                  <w:r>
                    <w:rPr>
                      <w:bCs/>
                      <w:sz w:val="21"/>
                      <w:szCs w:val="21"/>
                    </w:rPr>
                    <w:t>项目租赁贺安特传动科技有限公司厂房，不新增工业用地；</w:t>
                  </w:r>
                  <w:r>
                    <w:rPr>
                      <w:sz w:val="21"/>
                      <w:szCs w:val="21"/>
                    </w:rPr>
                    <w:t>主要从事</w:t>
                  </w:r>
                  <w:r>
                    <w:rPr>
                      <w:rFonts w:hint="eastAsia"/>
                      <w:sz w:val="21"/>
                      <w:szCs w:val="21"/>
                    </w:rPr>
                    <w:t>社会公共服务及其他专用设备制造</w:t>
                  </w:r>
                  <w:r>
                    <w:rPr>
                      <w:sz w:val="21"/>
                      <w:szCs w:val="21"/>
                    </w:rPr>
                    <w:t>项目，不涉及上述行业及相关工艺项目，符合文件要求。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4" w:type="pct"/>
                  <w:gridSpan w:val="2"/>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bCs/>
                      <w:sz w:val="21"/>
                      <w:szCs w:val="21"/>
                    </w:rPr>
                  </w:pPr>
                  <w:r>
                    <w:rPr>
                      <w:bCs/>
                      <w:sz w:val="21"/>
                      <w:szCs w:val="21"/>
                    </w:rPr>
                    <w:t>《长江经济带发展负面清单指南（试行，2022年版〉》（长江办〔2022〕7号〉及《〈长江经济带发展负面清单据南〈试行，2022年版）＞江苏省实施细则》（苏长江办发〔2022〕55号）</w:t>
                  </w:r>
                </w:p>
              </w:tc>
              <w:tc>
                <w:tcPr>
                  <w:tcW w:w="2726"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详见下表1-</w:t>
                  </w:r>
                  <w:r>
                    <w:rPr>
                      <w:rFonts w:hint="eastAsia"/>
                      <w:sz w:val="21"/>
                      <w:szCs w:val="21"/>
                    </w:rPr>
                    <w:t>6</w:t>
                  </w:r>
                </w:p>
              </w:tc>
              <w:tc>
                <w:tcPr>
                  <w:tcW w:w="985" w:type="pct"/>
                  <w:vMerge w:val="continue"/>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4" w:type="pct"/>
                  <w:gridSpan w:val="2"/>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bCs/>
                      <w:sz w:val="21"/>
                      <w:szCs w:val="21"/>
                    </w:rPr>
                    <w:t>《限制用地项目目录（2012年本）》、《禁止用地项目目录（2012年本）》</w:t>
                  </w:r>
                </w:p>
              </w:tc>
              <w:tc>
                <w:tcPr>
                  <w:tcW w:w="2726"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w:t>
                  </w:r>
                </w:p>
              </w:tc>
              <w:tc>
                <w:tcPr>
                  <w:tcW w:w="985" w:type="pct"/>
                  <w:vMerge w:val="continue"/>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4" w:type="pct"/>
                  <w:gridSpan w:val="2"/>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bCs/>
                      <w:sz w:val="21"/>
                      <w:szCs w:val="21"/>
                    </w:rPr>
                    <w:t>《江苏省限制用地项目目录（2013年本）》、《江苏省禁止用地项目目录（2013年本）》</w:t>
                  </w:r>
                </w:p>
              </w:tc>
              <w:tc>
                <w:tcPr>
                  <w:tcW w:w="2726" w:type="pct"/>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r>
                    <w:rPr>
                      <w:sz w:val="21"/>
                      <w:szCs w:val="21"/>
                    </w:rPr>
                    <w:t>/</w:t>
                  </w:r>
                </w:p>
              </w:tc>
              <w:tc>
                <w:tcPr>
                  <w:tcW w:w="985" w:type="pct"/>
                  <w:vMerge w:val="continue"/>
                  <w:tcBorders>
                    <w:tl2br w:val="nil"/>
                    <w:tr2bl w:val="nil"/>
                  </w:tcBorders>
                  <w:vAlign w:val="center"/>
                </w:tcPr>
                <w:p>
                  <w:pPr>
                    <w:pStyle w:val="32"/>
                    <w:keepNext w:val="0"/>
                    <w:keepLines w:val="0"/>
                    <w:pageBreakBefore w:val="0"/>
                    <w:kinsoku/>
                    <w:wordWrap/>
                    <w:overflowPunct/>
                    <w:topLinePunct w:val="0"/>
                    <w:autoSpaceDE/>
                    <w:autoSpaceDN/>
                    <w:bidi w:val="0"/>
                    <w:spacing w:after="0"/>
                    <w:ind w:left="0" w:leftChars="0" w:firstLine="0" w:firstLineChars="0"/>
                    <w:jc w:val="center"/>
                    <w:textAlignment w:val="auto"/>
                    <w:rPr>
                      <w:sz w:val="21"/>
                      <w:szCs w:val="21"/>
                    </w:rPr>
                  </w:pPr>
                </w:p>
              </w:tc>
            </w:tr>
          </w:tbl>
          <w:p>
            <w:pPr>
              <w:pStyle w:val="32"/>
              <w:keepNext w:val="0"/>
              <w:keepLines w:val="0"/>
              <w:pageBreakBefore w:val="0"/>
              <w:widowControl/>
              <w:kinsoku/>
              <w:wordWrap/>
              <w:overflowPunct/>
              <w:topLinePunct w:val="0"/>
              <w:autoSpaceDE/>
              <w:autoSpaceDN/>
              <w:bidi w:val="0"/>
              <w:adjustRightInd w:val="0"/>
              <w:snapToGrid w:val="0"/>
              <w:spacing w:after="0" w:line="500" w:lineRule="exact"/>
              <w:ind w:left="0" w:leftChars="0" w:firstLine="0" w:firstLineChars="0"/>
              <w:textAlignment w:val="auto"/>
              <w:rPr>
                <w:b/>
                <w:bCs/>
                <w:color w:val="000000"/>
                <w:szCs w:val="24"/>
              </w:rPr>
            </w:pPr>
            <w:r>
              <w:rPr>
                <w:rFonts w:hint="eastAsia"/>
                <w:b/>
                <w:bCs/>
                <w:color w:val="000000"/>
                <w:szCs w:val="24"/>
              </w:rPr>
              <w:t>4</w:t>
            </w:r>
            <w:r>
              <w:rPr>
                <w:b/>
                <w:bCs/>
                <w:color w:val="000000"/>
                <w:szCs w:val="24"/>
              </w:rPr>
              <w:t>、与《泰州市</w:t>
            </w:r>
            <w:r>
              <w:rPr>
                <w:rFonts w:hint="eastAsia"/>
                <w:b/>
                <w:bCs/>
                <w:color w:val="0000FF"/>
                <w:szCs w:val="24"/>
                <w:lang w:eastAsia="zh-CN"/>
              </w:rPr>
              <w:t>“</w:t>
            </w:r>
            <w:r>
              <w:rPr>
                <w:b/>
                <w:bCs/>
                <w:color w:val="000000"/>
                <w:szCs w:val="24"/>
              </w:rPr>
              <w:t>三线一单</w:t>
            </w:r>
            <w:r>
              <w:rPr>
                <w:rFonts w:hint="eastAsia"/>
                <w:b/>
                <w:bCs/>
                <w:color w:val="0000FF"/>
                <w:szCs w:val="24"/>
                <w:lang w:eastAsia="zh-CN"/>
              </w:rPr>
              <w:t>”</w:t>
            </w:r>
            <w:r>
              <w:rPr>
                <w:b/>
                <w:bCs/>
                <w:color w:val="000000"/>
                <w:szCs w:val="24"/>
              </w:rPr>
              <w:t>生态环境分区管控实施方案》相符性分析</w:t>
            </w:r>
          </w:p>
          <w:p>
            <w:pPr>
              <w:keepNext w:val="0"/>
              <w:keepLines w:val="0"/>
              <w:pageBreakBefore w:val="0"/>
              <w:kinsoku/>
              <w:wordWrap/>
              <w:overflowPunct/>
              <w:topLinePunct w:val="0"/>
              <w:autoSpaceDE/>
              <w:autoSpaceDN/>
              <w:bidi w:val="0"/>
              <w:adjustRightInd w:val="0"/>
              <w:spacing w:line="500" w:lineRule="exact"/>
              <w:ind w:firstLine="480" w:firstLineChars="200"/>
              <w:textAlignment w:val="auto"/>
              <w:outlineLvl w:val="3"/>
              <w:rPr>
                <w:bCs/>
                <w:color w:val="000000"/>
                <w:kern w:val="0"/>
                <w:sz w:val="24"/>
              </w:rPr>
            </w:pPr>
            <w:r>
              <w:rPr>
                <w:sz w:val="24"/>
              </w:rPr>
              <w:t>本项目建设地址位于</w:t>
            </w:r>
            <w:r>
              <w:rPr>
                <w:rFonts w:hint="eastAsia"/>
                <w:color w:val="0000FF"/>
                <w:sz w:val="24"/>
              </w:rPr>
              <w:t>泰州市医药高新区（高港区）郁金香墙纸公司东侧，永盛路北侧、创新大道南侧、展帆路西侧</w:t>
            </w:r>
            <w:r>
              <w:rPr>
                <w:rFonts w:hint="eastAsia"/>
                <w:color w:val="0000FF"/>
                <w:sz w:val="24"/>
                <w:lang w:eastAsia="zh-CN"/>
              </w:rPr>
              <w:t>，</w:t>
            </w:r>
            <w:r>
              <w:rPr>
                <w:rFonts w:hint="eastAsia"/>
                <w:color w:val="0000FF"/>
                <w:sz w:val="24"/>
                <w:lang w:val="en-US" w:eastAsia="zh-CN"/>
              </w:rPr>
              <w:t>位于</w:t>
            </w:r>
            <w:r>
              <w:rPr>
                <w:sz w:val="24"/>
              </w:rPr>
              <w:t>江苏泰州港经济开发区</w:t>
            </w:r>
            <w:r>
              <w:rPr>
                <w:rFonts w:hint="eastAsia"/>
                <w:color w:val="0000FF"/>
                <w:sz w:val="24"/>
                <w:lang w:val="en-US" w:eastAsia="zh-CN"/>
              </w:rPr>
              <w:t>内</w:t>
            </w:r>
            <w:r>
              <w:rPr>
                <w:sz w:val="24"/>
              </w:rPr>
              <w:t>，对照关于印发《泰州市</w:t>
            </w:r>
            <w:r>
              <w:rPr>
                <w:rFonts w:hint="eastAsia"/>
                <w:color w:val="0000FF"/>
                <w:sz w:val="24"/>
                <w:lang w:eastAsia="zh-CN"/>
              </w:rPr>
              <w:t>“</w:t>
            </w:r>
            <w:r>
              <w:rPr>
                <w:sz w:val="24"/>
              </w:rPr>
              <w:t>三线一单</w:t>
            </w:r>
            <w:r>
              <w:rPr>
                <w:rFonts w:hint="eastAsia"/>
                <w:color w:val="0000FF"/>
                <w:sz w:val="24"/>
                <w:lang w:eastAsia="zh-CN"/>
              </w:rPr>
              <w:t>”</w:t>
            </w:r>
            <w:r>
              <w:rPr>
                <w:sz w:val="24"/>
              </w:rPr>
              <w:t>生态环境分区管控更新方案（2022年动态更新）》的通知，江苏泰州港经济开发区（非省级）属于重点管控单元，与</w:t>
            </w:r>
            <w:r>
              <w:rPr>
                <w:rFonts w:hint="eastAsia"/>
                <w:color w:val="0000FF"/>
                <w:sz w:val="24"/>
                <w:lang w:eastAsia="zh-CN"/>
              </w:rPr>
              <w:t>“</w:t>
            </w:r>
            <w:r>
              <w:rPr>
                <w:sz w:val="24"/>
              </w:rPr>
              <w:t>三线一单</w:t>
            </w:r>
            <w:r>
              <w:rPr>
                <w:rFonts w:hint="eastAsia"/>
                <w:color w:val="0000FF"/>
                <w:sz w:val="24"/>
                <w:lang w:eastAsia="zh-CN"/>
              </w:rPr>
              <w:t>”</w:t>
            </w:r>
            <w:r>
              <w:rPr>
                <w:sz w:val="24"/>
              </w:rPr>
              <w:t>生态环境准入清单要求相符性</w:t>
            </w:r>
            <w:r>
              <w:rPr>
                <w:bCs/>
                <w:color w:val="000000"/>
                <w:kern w:val="0"/>
                <w:sz w:val="24"/>
              </w:rPr>
              <w:t>，具体见表1-</w:t>
            </w:r>
            <w:r>
              <w:rPr>
                <w:rFonts w:hint="eastAsia"/>
                <w:bCs/>
                <w:color w:val="000000"/>
                <w:kern w:val="0"/>
                <w:sz w:val="24"/>
              </w:rPr>
              <w:t>4</w:t>
            </w:r>
            <w:r>
              <w:rPr>
                <w:bCs/>
                <w:color w:val="000000"/>
                <w:kern w:val="0"/>
                <w:sz w:val="24"/>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Times New Roman" w:hAnsi="Times New Roman" w:cs="Times New Roman"/>
                <w:b/>
                <w:color w:val="000000"/>
                <w:kern w:val="0"/>
                <w:szCs w:val="21"/>
              </w:rPr>
            </w:pPr>
            <w:r>
              <w:rPr>
                <w:rFonts w:hint="default" w:ascii="Times New Roman" w:hAnsi="Times New Roman" w:cs="Times New Roman"/>
                <w:b/>
                <w:color w:val="000000"/>
                <w:szCs w:val="21"/>
              </w:rPr>
              <w:t>表1-4与《泰州市</w:t>
            </w:r>
            <w:r>
              <w:rPr>
                <w:rFonts w:hint="eastAsia" w:ascii="Times New Roman" w:hAnsi="Times New Roman" w:cs="Times New Roman"/>
                <w:b/>
                <w:color w:val="0000FF"/>
                <w:szCs w:val="21"/>
                <w:lang w:eastAsia="zh-CN"/>
              </w:rPr>
              <w:t>“</w:t>
            </w:r>
            <w:r>
              <w:rPr>
                <w:rFonts w:hint="default" w:ascii="Times New Roman" w:hAnsi="Times New Roman" w:cs="Times New Roman"/>
                <w:b/>
                <w:color w:val="000000"/>
                <w:szCs w:val="21"/>
              </w:rPr>
              <w:t>三线一单</w:t>
            </w:r>
            <w:r>
              <w:rPr>
                <w:rFonts w:hint="eastAsia" w:cs="Times New Roman"/>
                <w:b/>
                <w:color w:val="0000FF"/>
                <w:szCs w:val="21"/>
                <w:lang w:eastAsia="zh-CN"/>
              </w:rPr>
              <w:t>”</w:t>
            </w:r>
            <w:r>
              <w:rPr>
                <w:rFonts w:hint="default" w:ascii="Times New Roman" w:hAnsi="Times New Roman" w:cs="Times New Roman"/>
                <w:b/>
                <w:color w:val="000000"/>
                <w:szCs w:val="21"/>
              </w:rPr>
              <w:t>生态环境分区管控实施方案》相符性分析</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3736"/>
              <w:gridCol w:w="2500"/>
              <w:gridCol w:w="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b/>
                      <w:szCs w:val="21"/>
                    </w:rPr>
                  </w:pPr>
                  <w:r>
                    <w:rPr>
                      <w:rFonts w:hint="eastAsia" w:ascii="宋体" w:hAnsi="宋体" w:cs="宋体"/>
                      <w:b/>
                      <w:szCs w:val="21"/>
                    </w:rPr>
                    <w:t>管控类别</w:t>
                  </w:r>
                </w:p>
              </w:tc>
              <w:tc>
                <w:tcPr>
                  <w:tcW w:w="2383"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b/>
                      <w:szCs w:val="21"/>
                    </w:rPr>
                  </w:pPr>
                  <w:r>
                    <w:rPr>
                      <w:rFonts w:hint="eastAsia" w:ascii="宋体" w:hAnsi="宋体" w:cs="宋体"/>
                      <w:b/>
                      <w:szCs w:val="21"/>
                    </w:rPr>
                    <w:t>管控要求</w:t>
                  </w:r>
                </w:p>
              </w:tc>
              <w:tc>
                <w:tcPr>
                  <w:tcW w:w="1594"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b/>
                      <w:szCs w:val="21"/>
                    </w:rPr>
                  </w:pPr>
                  <w:r>
                    <w:rPr>
                      <w:rFonts w:hint="eastAsia" w:ascii="宋体" w:hAnsi="宋体" w:cs="宋体"/>
                      <w:b/>
                      <w:szCs w:val="21"/>
                    </w:rPr>
                    <w:t>项目情况</w:t>
                  </w:r>
                </w:p>
              </w:tc>
              <w:tc>
                <w:tcPr>
                  <w:tcW w:w="616"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b/>
                      <w:szCs w:val="21"/>
                    </w:rPr>
                  </w:pPr>
                  <w:r>
                    <w:rPr>
                      <w:rFonts w:hint="eastAsia" w:ascii="宋体" w:hAnsi="宋体" w:cs="宋体"/>
                      <w:b/>
                      <w:szCs w:val="21"/>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szCs w:val="21"/>
                    </w:rPr>
                  </w:pPr>
                  <w:r>
                    <w:rPr>
                      <w:rFonts w:hint="eastAsia" w:ascii="宋体" w:hAnsi="宋体" w:cs="宋体"/>
                      <w:szCs w:val="21"/>
                    </w:rPr>
                    <w:t>空间布局约束</w:t>
                  </w:r>
                </w:p>
              </w:tc>
              <w:tc>
                <w:tcPr>
                  <w:tcW w:w="2383"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szCs w:val="21"/>
                    </w:rPr>
                    <w:t>禁止1、机械制造（专业电镀项目（含电镀工序的新型电子元器件项目除外）电镀和阳极氧化工序清洁生产水平达不到《电镀行业清洁生产评价指标体系》中二级要求；露天和敞开式喷涂作业（工艺有特殊要求除外）；铅蓄电池制造；晶硅铸/拉棒/切割工序；电池制造清洁生产水平达不到《电池行业清洁生产评价指标体系》中二级要求；燃煤、燃重油项目；电子信息（专业电镀项目（含电镀工序的新型电子元器件项目除外）电镀和阳极氧化工序清洁生产水平达不到《电镀行业清洁生产评价指标体系》中二级要求；露天和敞开式喷涂作业（工艺有特殊要求除外）燃煤、燃重油项目；生命健康（植物油浸出、精制，原糖生产，屠宰，含酿造工艺项目，发酵、提炼废气不能有效收集处理的项目，家居建材（露天和敞开式喷涂作业（工艺有特殊要求除外））燃煤、燃重油项目；其他（化工、石化、化纤、印染、制革、制浆、</w:t>
                  </w:r>
                  <w:r>
                    <w:rPr>
                      <w:rFonts w:hint="eastAsia"/>
                      <w:color w:val="0000FF"/>
                      <w:szCs w:val="21"/>
                      <w:lang w:eastAsia="zh-CN"/>
                    </w:rPr>
                    <w:t>冶炼</w:t>
                  </w:r>
                  <w:r>
                    <w:rPr>
                      <w:szCs w:val="21"/>
                    </w:rPr>
                    <w:t>、焦化钢铁、水泥、平板玻璃等重污染项目。</w:t>
                  </w:r>
                </w:p>
              </w:tc>
              <w:tc>
                <w:tcPr>
                  <w:tcW w:w="1594"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szCs w:val="21"/>
                    </w:rPr>
                  </w:pPr>
                  <w:r>
                    <w:rPr>
                      <w:rFonts w:hint="eastAsia" w:ascii="宋体" w:hAnsi="宋体" w:cs="宋体"/>
                      <w:szCs w:val="21"/>
                    </w:rPr>
                    <w:t>本项目属于社会公共服务及其他专用设备制造，不属于禁止引入项目。</w:t>
                  </w:r>
                </w:p>
              </w:tc>
              <w:tc>
                <w:tcPr>
                  <w:tcW w:w="616"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szCs w:val="21"/>
                    </w:rPr>
                  </w:pPr>
                  <w:r>
                    <w:rPr>
                      <w:rFonts w:hint="eastAsia" w:ascii="宋体" w:hAnsi="宋体" w:cs="宋体"/>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szCs w:val="21"/>
                    </w:rPr>
                  </w:pPr>
                  <w:r>
                    <w:rPr>
                      <w:rFonts w:hint="eastAsia" w:ascii="宋体" w:hAnsi="宋体" w:cs="宋体"/>
                      <w:szCs w:val="21"/>
                    </w:rPr>
                    <w:t>污染物排放管控</w:t>
                  </w:r>
                </w:p>
              </w:tc>
              <w:tc>
                <w:tcPr>
                  <w:tcW w:w="2383"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szCs w:val="21"/>
                    </w:rPr>
                    <w:t>水污染排放量：COD169.315t/a，氨氮16.93t/a,SS33.863t/a,TP1.693t/a,石油类3.386t/a，总镍0.169t/a，总氰化物1.693t/a。（2）大气污染物排放量：二氧化硫0.83t/a，氮氧化物8.16t/a，烟尘0.66t/a，粉尘44.83t/a，硫酸雾1.01t/a,硫化氢0.556t/a,氨0.13t/a,二甲苯5.35t/a,氰化物0.063t/a。</w:t>
                  </w:r>
                </w:p>
              </w:tc>
              <w:tc>
                <w:tcPr>
                  <w:tcW w:w="1594"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szCs w:val="21"/>
                    </w:rPr>
                  </w:pPr>
                  <w:r>
                    <w:rPr>
                      <w:rFonts w:hint="eastAsia" w:ascii="宋体" w:hAnsi="宋体" w:cs="宋体"/>
                      <w:color w:val="000000"/>
                      <w:szCs w:val="21"/>
                    </w:rPr>
                    <w:t>本</w:t>
                  </w:r>
                  <w:r>
                    <w:rPr>
                      <w:rFonts w:hint="eastAsia" w:ascii="宋体" w:hAnsi="宋体" w:cs="宋体"/>
                      <w:szCs w:val="21"/>
                    </w:rPr>
                    <w:t>项目生活污水经厂区化粪池预处理达标后接管至江苏港城污水处理有限公司，废气污染物为非甲烷总烃、颗粒物，在泰州市高港区范围内平衡。</w:t>
                  </w:r>
                </w:p>
              </w:tc>
              <w:tc>
                <w:tcPr>
                  <w:tcW w:w="616"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szCs w:val="21"/>
                    </w:rPr>
                  </w:pPr>
                  <w:r>
                    <w:rPr>
                      <w:rFonts w:hint="eastAsia" w:ascii="宋体" w:hAnsi="宋体" w:cs="宋体"/>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szCs w:val="21"/>
                    </w:rPr>
                  </w:pPr>
                  <w:r>
                    <w:rPr>
                      <w:rFonts w:hint="eastAsia" w:ascii="宋体" w:hAnsi="宋体" w:cs="宋体"/>
                      <w:szCs w:val="21"/>
                    </w:rPr>
                    <w:t>环境风险防控</w:t>
                  </w:r>
                </w:p>
              </w:tc>
              <w:tc>
                <w:tcPr>
                  <w:tcW w:w="2383"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szCs w:val="21"/>
                    </w:rPr>
                    <w:t>1、建</w:t>
                  </w:r>
                  <w:r>
                    <w:rPr>
                      <w:rFonts w:hint="eastAsia"/>
                      <w:szCs w:val="21"/>
                    </w:rPr>
                    <w:t>立并完善区域环境风险防范体系，</w:t>
                  </w:r>
                </w:p>
                <w:p>
                  <w:pPr>
                    <w:keepNext w:val="0"/>
                    <w:keepLines w:val="0"/>
                    <w:pageBreakBefore w:val="0"/>
                    <w:kinsoku/>
                    <w:wordWrap/>
                    <w:overflowPunct/>
                    <w:topLinePunct w:val="0"/>
                    <w:autoSpaceDE/>
                    <w:autoSpaceDN/>
                    <w:bidi w:val="0"/>
                    <w:jc w:val="center"/>
                    <w:textAlignment w:val="auto"/>
                    <w:rPr>
                      <w:szCs w:val="21"/>
                    </w:rPr>
                  </w:pPr>
                  <w:r>
                    <w:rPr>
                      <w:rFonts w:hint="eastAsia"/>
                      <w:szCs w:val="21"/>
                    </w:rPr>
                    <w:t>制定完备的事故应急预案，贮存必要</w:t>
                  </w:r>
                </w:p>
                <w:p>
                  <w:pPr>
                    <w:keepNext w:val="0"/>
                    <w:keepLines w:val="0"/>
                    <w:pageBreakBefore w:val="0"/>
                    <w:kinsoku/>
                    <w:wordWrap/>
                    <w:overflowPunct/>
                    <w:topLinePunct w:val="0"/>
                    <w:autoSpaceDE/>
                    <w:autoSpaceDN/>
                    <w:bidi w:val="0"/>
                    <w:jc w:val="center"/>
                    <w:textAlignment w:val="auto"/>
                    <w:rPr>
                      <w:szCs w:val="21"/>
                    </w:rPr>
                  </w:pPr>
                  <w:r>
                    <w:rPr>
                      <w:rFonts w:hint="eastAsia"/>
                      <w:szCs w:val="21"/>
                    </w:rPr>
                    <w:t>的应急物资，定期开展事故应急演练。</w:t>
                  </w:r>
                </w:p>
              </w:tc>
              <w:tc>
                <w:tcPr>
                  <w:tcW w:w="1594"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szCs w:val="21"/>
                    </w:rPr>
                  </w:pPr>
                  <w:r>
                    <w:rPr>
                      <w:rFonts w:hint="eastAsia" w:ascii="宋体" w:hAnsi="宋体" w:cs="宋体"/>
                      <w:szCs w:val="21"/>
                    </w:rPr>
                    <w:t>制定了事故应急预案，贮存必要的应急物资，定期</w:t>
                  </w:r>
                </w:p>
                <w:p>
                  <w:pPr>
                    <w:keepNext w:val="0"/>
                    <w:keepLines w:val="0"/>
                    <w:pageBreakBefore w:val="0"/>
                    <w:kinsoku/>
                    <w:wordWrap/>
                    <w:overflowPunct/>
                    <w:topLinePunct w:val="0"/>
                    <w:autoSpaceDE/>
                    <w:autoSpaceDN/>
                    <w:bidi w:val="0"/>
                    <w:jc w:val="center"/>
                    <w:textAlignment w:val="auto"/>
                    <w:rPr>
                      <w:rFonts w:ascii="宋体" w:hAnsi="宋体" w:cs="宋体"/>
                      <w:szCs w:val="21"/>
                    </w:rPr>
                  </w:pPr>
                  <w:r>
                    <w:rPr>
                      <w:rFonts w:hint="eastAsia" w:ascii="宋体" w:hAnsi="宋体" w:cs="宋体"/>
                      <w:szCs w:val="21"/>
                    </w:rPr>
                    <w:t>开展事故应急演练。</w:t>
                  </w:r>
                </w:p>
              </w:tc>
              <w:tc>
                <w:tcPr>
                  <w:tcW w:w="616"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szCs w:val="21"/>
                    </w:rPr>
                  </w:pPr>
                  <w:r>
                    <w:rPr>
                      <w:rFonts w:hint="eastAsia" w:ascii="宋体" w:hAnsi="宋体" w:cs="宋体"/>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szCs w:val="21"/>
                    </w:rPr>
                  </w:pPr>
                  <w:r>
                    <w:rPr>
                      <w:rFonts w:hint="eastAsia" w:ascii="宋体" w:hAnsi="宋体" w:cs="宋体"/>
                      <w:szCs w:val="21"/>
                    </w:rPr>
                    <w:t>资源开发效率要求</w:t>
                  </w:r>
                </w:p>
              </w:tc>
              <w:tc>
                <w:tcPr>
                  <w:tcW w:w="2383"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szCs w:val="21"/>
                    </w:rPr>
                  </w:pPr>
                  <w:r>
                    <w:rPr>
                      <w:szCs w:val="21"/>
                    </w:rPr>
                    <w:t>禁止销售使用燃料为</w:t>
                  </w:r>
                  <w:r>
                    <w:rPr>
                      <w:rFonts w:hint="eastAsia"/>
                      <w:szCs w:val="21"/>
                      <w:lang w:eastAsia="zh-CN"/>
                    </w:rPr>
                    <w:t>“</w:t>
                  </w:r>
                  <w:r>
                    <w:rPr>
                      <w:szCs w:val="21"/>
                    </w:rPr>
                    <w:t>Ⅲ类</w:t>
                  </w:r>
                  <w:r>
                    <w:rPr>
                      <w:rFonts w:hint="eastAsia"/>
                      <w:szCs w:val="21"/>
                      <w:lang w:eastAsia="zh-CN"/>
                    </w:rPr>
                    <w:t>”</w:t>
                  </w:r>
                  <w:r>
                    <w:rPr>
                      <w:szCs w:val="21"/>
                    </w:rPr>
                    <w:t>（严格），具体包括：1、煤炭及其制品（包括原煤、散煤、煤矸石、煤泥、煤粉、水煤浆、型煤、焦炭、兰炭等）；2、石油焦、油页岩、原油、重油、渣油、煤焦油；3、非专用锅炉或未配置高效除尘设施的专用锅炉燃用的生物质成型燃料；4、国家规定的其它高污染燃料。</w:t>
                  </w:r>
                </w:p>
              </w:tc>
              <w:tc>
                <w:tcPr>
                  <w:tcW w:w="1594"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szCs w:val="21"/>
                    </w:rPr>
                  </w:pPr>
                  <w:r>
                    <w:rPr>
                      <w:szCs w:val="21"/>
                    </w:rPr>
                    <w:t>本项目</w:t>
                  </w:r>
                  <w:r>
                    <w:rPr>
                      <w:rFonts w:hint="eastAsia"/>
                      <w:szCs w:val="21"/>
                    </w:rPr>
                    <w:t>不涉及</w:t>
                  </w:r>
                  <w:r>
                    <w:rPr>
                      <w:szCs w:val="21"/>
                    </w:rPr>
                    <w:t>。</w:t>
                  </w:r>
                </w:p>
              </w:tc>
              <w:tc>
                <w:tcPr>
                  <w:tcW w:w="616" w:type="pct"/>
                  <w:tcBorders>
                    <w:tl2br w:val="nil"/>
                    <w:tr2bl w:val="nil"/>
                  </w:tcBorders>
                  <w:vAlign w:val="center"/>
                </w:tcPr>
                <w:p>
                  <w:pPr>
                    <w:keepNext w:val="0"/>
                    <w:keepLines w:val="0"/>
                    <w:pageBreakBefore w:val="0"/>
                    <w:kinsoku/>
                    <w:wordWrap/>
                    <w:overflowPunct/>
                    <w:topLinePunct w:val="0"/>
                    <w:autoSpaceDE/>
                    <w:autoSpaceDN/>
                    <w:bidi w:val="0"/>
                    <w:jc w:val="center"/>
                    <w:textAlignment w:val="auto"/>
                    <w:rPr>
                      <w:rFonts w:ascii="宋体" w:hAnsi="宋体" w:cs="宋体"/>
                      <w:szCs w:val="21"/>
                    </w:rPr>
                  </w:pPr>
                  <w:r>
                    <w:rPr>
                      <w:rFonts w:hint="eastAsia" w:ascii="宋体" w:hAnsi="宋体" w:cs="宋体"/>
                      <w:szCs w:val="21"/>
                    </w:rPr>
                    <w:t>符合</w:t>
                  </w:r>
                </w:p>
              </w:tc>
            </w:tr>
          </w:tbl>
          <w:p>
            <w:pPr>
              <w:pStyle w:val="32"/>
              <w:keepNext w:val="0"/>
              <w:keepLines w:val="0"/>
              <w:pageBreakBefore w:val="0"/>
              <w:widowControl/>
              <w:kinsoku/>
              <w:wordWrap/>
              <w:overflowPunct/>
              <w:topLinePunct w:val="0"/>
              <w:autoSpaceDE/>
              <w:autoSpaceDN/>
              <w:bidi w:val="0"/>
              <w:adjustRightInd w:val="0"/>
              <w:snapToGrid w:val="0"/>
              <w:spacing w:after="0" w:line="500" w:lineRule="exact"/>
              <w:ind w:left="0" w:leftChars="0" w:firstLine="0" w:firstLineChars="0"/>
              <w:textAlignment w:val="auto"/>
              <w:rPr>
                <w:b/>
                <w:bCs/>
                <w:color w:val="000000"/>
                <w:szCs w:val="24"/>
              </w:rPr>
            </w:pPr>
            <w:r>
              <w:rPr>
                <w:rFonts w:hint="eastAsia"/>
                <w:b/>
                <w:bCs/>
                <w:color w:val="000000"/>
                <w:szCs w:val="24"/>
              </w:rPr>
              <w:t>5、</w:t>
            </w:r>
            <w:r>
              <w:rPr>
                <w:b/>
                <w:bCs/>
                <w:color w:val="000000"/>
                <w:szCs w:val="24"/>
              </w:rPr>
              <w:t>与《关于印发&lt;长江经济带发展负面清单指南&gt;（试行，2022年版）的通知》（长江办〔2022〕7号）相符性分析</w:t>
            </w:r>
          </w:p>
          <w:p>
            <w:pPr>
              <w:pStyle w:val="32"/>
              <w:keepNext w:val="0"/>
              <w:keepLines w:val="0"/>
              <w:pageBreakBefore w:val="0"/>
              <w:widowControl/>
              <w:kinsoku/>
              <w:wordWrap/>
              <w:overflowPunct/>
              <w:topLinePunct w:val="0"/>
              <w:autoSpaceDE/>
              <w:autoSpaceDN/>
              <w:bidi w:val="0"/>
              <w:adjustRightInd w:val="0"/>
              <w:snapToGrid w:val="0"/>
              <w:spacing w:after="0" w:line="500" w:lineRule="exact"/>
              <w:ind w:left="0" w:leftChars="0" w:firstLine="480"/>
              <w:textAlignment w:val="auto"/>
              <w:rPr>
                <w:szCs w:val="24"/>
              </w:rPr>
            </w:pPr>
            <w:r>
              <w:rPr>
                <w:szCs w:val="24"/>
              </w:rPr>
              <w:t>对照《关于印发&lt;长江经济带发展负面清单指南&gt;（试行，2022年版）的通知》（长江办〔2022〕7号）的附件《长江经济带发展负面清单指南》（试行，2022年版）中的要求，本项目符合相关要求。具体管控要求和相符性分析见表1-</w:t>
            </w:r>
            <w:r>
              <w:rPr>
                <w:rFonts w:hint="eastAsia"/>
                <w:szCs w:val="24"/>
              </w:rPr>
              <w:t>5。</w:t>
            </w:r>
          </w:p>
          <w:p>
            <w:pPr>
              <w:pStyle w:val="32"/>
              <w:keepNext w:val="0"/>
              <w:keepLines w:val="0"/>
              <w:pageBreakBefore w:val="0"/>
              <w:widowControl/>
              <w:kinsoku/>
              <w:wordWrap/>
              <w:overflowPunct/>
              <w:topLinePunct w:val="0"/>
              <w:autoSpaceDE/>
              <w:autoSpaceDN/>
              <w:bidi w:val="0"/>
              <w:adjustRightInd w:val="0"/>
              <w:snapToGrid w:val="0"/>
              <w:spacing w:before="157" w:beforeLines="50" w:after="157" w:afterLines="50"/>
              <w:ind w:left="0" w:leftChars="0" w:firstLine="0" w:firstLineChars="0"/>
              <w:jc w:val="center"/>
              <w:textAlignment w:val="auto"/>
              <w:rPr>
                <w:b/>
                <w:bCs/>
                <w:sz w:val="21"/>
                <w:szCs w:val="21"/>
              </w:rPr>
            </w:pPr>
            <w:r>
              <w:rPr>
                <w:b/>
                <w:bCs/>
                <w:sz w:val="21"/>
                <w:szCs w:val="21"/>
              </w:rPr>
              <w:t>表1-</w:t>
            </w:r>
            <w:r>
              <w:rPr>
                <w:rFonts w:hint="eastAsia"/>
                <w:b/>
                <w:bCs/>
                <w:sz w:val="21"/>
                <w:szCs w:val="21"/>
              </w:rPr>
              <w:t>5与《〈长江经济带发展负面清单指南〉江苏省实施细则（试行）》相符性分析</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6"/>
              <w:gridCol w:w="3807"/>
              <w:gridCol w:w="2555"/>
              <w:gridCol w:w="8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sz w:val="21"/>
                      <w:szCs w:val="21"/>
                    </w:rPr>
                  </w:pPr>
                  <w:r>
                    <w:rPr>
                      <w:rFonts w:ascii="Times New Roman" w:hAnsi="Times New Roman" w:cs="Times New Roman"/>
                      <w:bCs/>
                      <w:sz w:val="21"/>
                      <w:szCs w:val="21"/>
                    </w:rPr>
                    <w:t>序号</w:t>
                  </w:r>
                </w:p>
              </w:tc>
              <w:tc>
                <w:tcPr>
                  <w:tcW w:w="3807"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sz w:val="21"/>
                      <w:szCs w:val="21"/>
                    </w:rPr>
                  </w:pPr>
                  <w:r>
                    <w:rPr>
                      <w:rFonts w:ascii="Times New Roman" w:hAnsi="Times New Roman" w:cs="Times New Roman"/>
                      <w:bCs/>
                      <w:sz w:val="21"/>
                      <w:szCs w:val="21"/>
                    </w:rPr>
                    <w:t>负面清单</w:t>
                  </w:r>
                </w:p>
              </w:tc>
              <w:tc>
                <w:tcPr>
                  <w:tcW w:w="2555"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sz w:val="21"/>
                      <w:szCs w:val="21"/>
                    </w:rPr>
                  </w:pPr>
                  <w:r>
                    <w:rPr>
                      <w:rFonts w:ascii="Times New Roman" w:hAnsi="Times New Roman" w:cs="Times New Roman"/>
                      <w:bCs/>
                      <w:sz w:val="21"/>
                      <w:szCs w:val="21"/>
                    </w:rPr>
                    <w:t>相符性分析</w:t>
                  </w:r>
                </w:p>
              </w:tc>
              <w:tc>
                <w:tcPr>
                  <w:tcW w:w="809"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sz w:val="21"/>
                      <w:szCs w:val="21"/>
                    </w:rPr>
                  </w:pPr>
                  <w:r>
                    <w:rPr>
                      <w:rFonts w:ascii="Times New Roman" w:hAnsi="Times New Roman" w:cs="Times New Roman"/>
                      <w:bCs/>
                      <w:sz w:val="21"/>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1</w:t>
                  </w:r>
                </w:p>
              </w:tc>
              <w:tc>
                <w:tcPr>
                  <w:tcW w:w="3807"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ascii="Times New Roman" w:hAnsi="Times New Roman" w:cs="Times New Roman"/>
                      <w:b w:val="0"/>
                      <w:sz w:val="21"/>
                      <w:szCs w:val="21"/>
                    </w:rPr>
                    <w:t>禁止建设不符合全国和省级港口布局规划以及港口总体规划的码头项目，禁止建设不符合《长江干线过江通道布局规划》的过长江通道项目</w:t>
                  </w:r>
                </w:p>
              </w:tc>
              <w:tc>
                <w:tcPr>
                  <w:tcW w:w="2555"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ascii="Times New Roman" w:hAnsi="Times New Roman" w:cs="Times New Roman"/>
                      <w:b w:val="0"/>
                      <w:sz w:val="21"/>
                      <w:szCs w:val="21"/>
                    </w:rPr>
                    <w:t>本项目不属于码头项目和过长江通道项目</w:t>
                  </w:r>
                </w:p>
              </w:tc>
              <w:tc>
                <w:tcPr>
                  <w:tcW w:w="809"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ascii="Times New Roman" w:hAnsi="Times New Roman" w:cs="Times New Roman"/>
                      <w:b w:val="0"/>
                      <w:sz w:val="21"/>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2</w:t>
                  </w:r>
                </w:p>
              </w:tc>
              <w:tc>
                <w:tcPr>
                  <w:tcW w:w="3807"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outlineLvl w:val="9"/>
                    <w:rPr>
                      <w:rFonts w:ascii="Times New Roman" w:hAnsi="Times New Roman" w:cs="Times New Roman"/>
                      <w:b w:val="0"/>
                      <w:sz w:val="21"/>
                      <w:szCs w:val="21"/>
                    </w:rPr>
                  </w:pPr>
                  <w:r>
                    <w:rPr>
                      <w:rFonts w:ascii="Times New Roman" w:hAnsi="Times New Roman" w:cs="Times New Roman"/>
                      <w:b w:val="0"/>
                      <w:sz w:val="21"/>
                      <w:szCs w:val="21"/>
                    </w:rPr>
                    <w:t>禁止在自然保护核心区、缓冲区的岸线和河段范围内投资建设旅游和生产经营项目。禁止在风景名胜区核心景区的岸线和河段范围内投资建设与风景名胜资源保护无关的项目</w:t>
                  </w:r>
                </w:p>
              </w:tc>
              <w:tc>
                <w:tcPr>
                  <w:tcW w:w="2555"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ascii="Times New Roman" w:hAnsi="Times New Roman" w:cs="Times New Roman"/>
                      <w:b w:val="0"/>
                      <w:sz w:val="21"/>
                      <w:szCs w:val="21"/>
                    </w:rPr>
                    <w:t>本项目建设场所不属于自然保护核心区、缓冲区的岸线和河段范围内</w:t>
                  </w:r>
                </w:p>
              </w:tc>
              <w:tc>
                <w:tcPr>
                  <w:tcW w:w="809"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ascii="Times New Roman" w:hAnsi="Times New Roman" w:cs="Times New Roman"/>
                      <w:b w:val="0"/>
                      <w:sz w:val="21"/>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3</w:t>
                  </w:r>
                </w:p>
              </w:tc>
              <w:tc>
                <w:tcPr>
                  <w:tcW w:w="3807"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ascii="Times New Roman" w:hAnsi="Times New Roman" w:cs="Times New Roman"/>
                      <w:b w:val="0"/>
                      <w:sz w:val="21"/>
                      <w:szCs w:val="21"/>
                    </w:rPr>
                    <w:t>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w:t>
                  </w:r>
                </w:p>
              </w:tc>
              <w:tc>
                <w:tcPr>
                  <w:tcW w:w="2555"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ascii="Times New Roman" w:hAnsi="Times New Roman" w:cs="Times New Roman"/>
                      <w:b w:val="0"/>
                      <w:sz w:val="21"/>
                      <w:szCs w:val="21"/>
                    </w:rPr>
                    <w:t>本项目不在饮用水水源一级保护区、二级保护区的岸线和河段范围内</w:t>
                  </w:r>
                </w:p>
              </w:tc>
              <w:tc>
                <w:tcPr>
                  <w:tcW w:w="809"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ascii="Times New Roman" w:hAnsi="Times New Roman" w:cs="Times New Roman"/>
                      <w:b w:val="0"/>
                      <w:sz w:val="21"/>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4</w:t>
                  </w:r>
                </w:p>
              </w:tc>
              <w:tc>
                <w:tcPr>
                  <w:tcW w:w="3807"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ascii="Times New Roman" w:hAnsi="Times New Roman" w:cs="Times New Roman"/>
                      <w:b w:val="0"/>
                      <w:sz w:val="21"/>
                      <w:szCs w:val="21"/>
                    </w:rPr>
                    <w:t>禁止在水产种质资源保护区的岸线和河段范围内新建排污口，以及围湖造田、围海造地或围填海等投资建设项目。禁止在国家湿地公园的岸线和河段范围内挖沙、采矿，以及任何不符合主体功能定位的投资建设项目</w:t>
                  </w:r>
                </w:p>
              </w:tc>
              <w:tc>
                <w:tcPr>
                  <w:tcW w:w="2555"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ascii="Times New Roman" w:hAnsi="Times New Roman" w:cs="Times New Roman"/>
                      <w:b w:val="0"/>
                      <w:sz w:val="21"/>
                      <w:szCs w:val="21"/>
                    </w:rPr>
                    <w:t>本项目位于泰州市医药高新区（高港区）郁金香墙纸公司东侧，永盛路北侧、创新大道南侧、展帆路西侧，不新增占地，不属于水产种质资源保护区的岸线和河段范围内，不在国家湿地公园的岸线和河段范围内</w:t>
                  </w:r>
                </w:p>
              </w:tc>
              <w:tc>
                <w:tcPr>
                  <w:tcW w:w="809" w:type="dxa"/>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ascii="Times New Roman" w:hAnsi="Times New Roman" w:cs="Times New Roman"/>
                      <w:b w:val="0"/>
                      <w:sz w:val="21"/>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5</w:t>
                  </w:r>
                </w:p>
              </w:tc>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2555"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本项目不在《长江岸线保护和开发利用总体规划》划定的岸线保护区内，不在《全国重要江河湖泊水功能区划》划定的河段保护区、保留区内</w:t>
                  </w:r>
                </w:p>
              </w:tc>
              <w:tc>
                <w:tcPr>
                  <w:tcW w:w="80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6</w:t>
                  </w:r>
                </w:p>
              </w:tc>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禁止未经许可在长江干支流及湖泊新设、改设或扩大排污口。</w:t>
                  </w:r>
                </w:p>
              </w:tc>
              <w:tc>
                <w:tcPr>
                  <w:tcW w:w="255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color w:val="000000"/>
                      <w:szCs w:val="21"/>
                    </w:rPr>
                  </w:pPr>
                  <w:r>
                    <w:rPr>
                      <w:color w:val="000000"/>
                      <w:kern w:val="0"/>
                      <w:szCs w:val="21"/>
                      <w:lang w:bidi="ar"/>
                    </w:rPr>
                    <w:t>本项目不在长江干支流及湖泊新设、改设或扩大排污口</w:t>
                  </w:r>
                </w:p>
              </w:tc>
              <w:tc>
                <w:tcPr>
                  <w:tcW w:w="80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7</w:t>
                  </w:r>
                </w:p>
              </w:tc>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禁止在</w:t>
                  </w:r>
                  <w:r>
                    <w:rPr>
                      <w:rFonts w:hint="eastAsia"/>
                      <w:color w:val="0000FF"/>
                      <w:szCs w:val="21"/>
                      <w:lang w:eastAsia="zh-CN"/>
                    </w:rPr>
                    <w:t>“</w:t>
                  </w:r>
                  <w:r>
                    <w:rPr>
                      <w:color w:val="000000"/>
                      <w:szCs w:val="21"/>
                    </w:rPr>
                    <w:t>一江一口两湖七河</w:t>
                  </w:r>
                  <w:r>
                    <w:rPr>
                      <w:rFonts w:hint="eastAsia"/>
                      <w:color w:val="0000FF"/>
                      <w:szCs w:val="21"/>
                      <w:lang w:eastAsia="zh-CN"/>
                    </w:rPr>
                    <w:t>”</w:t>
                  </w:r>
                  <w:r>
                    <w:rPr>
                      <w:color w:val="000000"/>
                      <w:szCs w:val="21"/>
                    </w:rPr>
                    <w:t>和332个水生生物保护区开展生产性捕捞。</w:t>
                  </w:r>
                </w:p>
              </w:tc>
              <w:tc>
                <w:tcPr>
                  <w:tcW w:w="255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color w:val="000000"/>
                      <w:szCs w:val="21"/>
                    </w:rPr>
                  </w:pPr>
                  <w:r>
                    <w:rPr>
                      <w:color w:val="000000"/>
                      <w:kern w:val="0"/>
                      <w:szCs w:val="21"/>
                      <w:lang w:bidi="ar"/>
                    </w:rPr>
                    <w:t>不涉及</w:t>
                  </w:r>
                </w:p>
              </w:tc>
              <w:tc>
                <w:tcPr>
                  <w:tcW w:w="80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8</w:t>
                  </w:r>
                </w:p>
              </w:tc>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2555"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rFonts w:hint="eastAsia"/>
                      <w:color w:val="0000FF"/>
                      <w:szCs w:val="21"/>
                      <w:lang w:val="en-US" w:eastAsia="zh-CN"/>
                    </w:rPr>
                    <w:t>本</w:t>
                  </w:r>
                  <w:r>
                    <w:rPr>
                      <w:color w:val="000000"/>
                      <w:szCs w:val="21"/>
                    </w:rPr>
                    <w:t>项目不属于新建、扩建化工园区和化工项目；不属于新建、改建、扩建尾矿库、冶炼渣库和磷石膏库。</w:t>
                  </w:r>
                </w:p>
              </w:tc>
              <w:tc>
                <w:tcPr>
                  <w:tcW w:w="80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9</w:t>
                  </w:r>
                </w:p>
              </w:tc>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禁止在合规园区外新建、扩建钢铁、石化、化工、焦化、建材、有色、制浆造纸等高污染项目。</w:t>
                  </w:r>
                </w:p>
              </w:tc>
              <w:tc>
                <w:tcPr>
                  <w:tcW w:w="2555"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对照《江苏省长江经济带发展负面清单实施细则（试行）合规园区名录》，本项目所在园区属于合规园区。</w:t>
                  </w:r>
                  <w:r>
                    <w:rPr>
                      <w:rFonts w:hint="eastAsia"/>
                      <w:color w:val="0000FF"/>
                      <w:szCs w:val="21"/>
                      <w:lang w:val="en-US" w:eastAsia="zh-CN"/>
                    </w:rPr>
                    <w:t>本</w:t>
                  </w:r>
                  <w:r>
                    <w:rPr>
                      <w:color w:val="000000"/>
                      <w:szCs w:val="21"/>
                    </w:rPr>
                    <w:t>项目</w:t>
                  </w:r>
                  <w:r>
                    <w:rPr>
                      <w:color w:val="000000"/>
                      <w:kern w:val="0"/>
                      <w:szCs w:val="21"/>
                      <w:lang w:bidi="ar"/>
                    </w:rPr>
                    <w:t>属于</w:t>
                  </w:r>
                  <w:r>
                    <w:rPr>
                      <w:rFonts w:hint="eastAsia"/>
                      <w:color w:val="000000"/>
                      <w:kern w:val="0"/>
                      <w:szCs w:val="21"/>
                      <w:lang w:bidi="ar"/>
                    </w:rPr>
                    <w:t>社会公共服务及其他专用设备制造</w:t>
                  </w:r>
                  <w:r>
                    <w:rPr>
                      <w:rFonts w:hint="eastAsia"/>
                      <w:color w:val="000000"/>
                      <w:szCs w:val="21"/>
                    </w:rPr>
                    <w:t>，</w:t>
                  </w:r>
                  <w:r>
                    <w:rPr>
                      <w:color w:val="000000"/>
                      <w:szCs w:val="21"/>
                    </w:rPr>
                    <w:t>不属于高污染项目</w:t>
                  </w:r>
                  <w:r>
                    <w:rPr>
                      <w:rFonts w:hint="eastAsia"/>
                      <w:color w:val="000000"/>
                      <w:szCs w:val="21"/>
                    </w:rPr>
                    <w:t>。</w:t>
                  </w:r>
                </w:p>
              </w:tc>
              <w:tc>
                <w:tcPr>
                  <w:tcW w:w="80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10</w:t>
                  </w:r>
                </w:p>
              </w:tc>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禁止新建、扩建不符合国家石化、现代煤化工等产业布局规划的项目。</w:t>
                  </w:r>
                </w:p>
              </w:tc>
              <w:tc>
                <w:tcPr>
                  <w:tcW w:w="2555"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本项目符合产业、结构规划</w:t>
                  </w:r>
                </w:p>
              </w:tc>
              <w:tc>
                <w:tcPr>
                  <w:tcW w:w="80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rFonts w:hint="eastAsia"/>
                      <w:color w:val="000000"/>
                      <w:szCs w:val="21"/>
                    </w:rPr>
                    <w:t>11</w:t>
                  </w:r>
                </w:p>
              </w:tc>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禁止新建、扩建法律法规和相关政策明令禁止的落后产能项目。禁止新建、扩建不符合国家产能置换要求的严重过剩产能行业的项目。禁止新建、扩建不符合要求的高耗能高排放项目。</w:t>
                  </w:r>
                </w:p>
              </w:tc>
              <w:tc>
                <w:tcPr>
                  <w:tcW w:w="2555"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rFonts w:hint="eastAsia"/>
                      <w:color w:val="0000FF"/>
                      <w:szCs w:val="21"/>
                      <w:lang w:val="en-US" w:eastAsia="zh-CN"/>
                    </w:rPr>
                    <w:t>本</w:t>
                  </w:r>
                  <w:r>
                    <w:rPr>
                      <w:color w:val="000000"/>
                      <w:szCs w:val="21"/>
                    </w:rPr>
                    <w:t>项目</w:t>
                  </w:r>
                  <w:r>
                    <w:rPr>
                      <w:color w:val="000000"/>
                      <w:kern w:val="0"/>
                      <w:szCs w:val="21"/>
                      <w:lang w:bidi="ar"/>
                    </w:rPr>
                    <w:t>属于</w:t>
                  </w:r>
                  <w:r>
                    <w:rPr>
                      <w:rFonts w:hint="eastAsia"/>
                      <w:color w:val="000000"/>
                      <w:kern w:val="0"/>
                      <w:szCs w:val="21"/>
                      <w:lang w:bidi="ar"/>
                    </w:rPr>
                    <w:t>社会公共服务及其他专用设备制造</w:t>
                  </w:r>
                  <w:r>
                    <w:rPr>
                      <w:color w:val="000000"/>
                      <w:szCs w:val="21"/>
                    </w:rPr>
                    <w:t>，不属于落后产能项目，不属于严重过剩产能行业的项目，不属于高耗能高排放项目</w:t>
                  </w:r>
                </w:p>
              </w:tc>
              <w:tc>
                <w:tcPr>
                  <w:tcW w:w="80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color w:val="000000"/>
                      <w:szCs w:val="21"/>
                    </w:rPr>
                    <w:t>相符</w:t>
                  </w:r>
                </w:p>
              </w:tc>
            </w:tr>
          </w:tbl>
          <w:p>
            <w:pPr>
              <w:pStyle w:val="32"/>
              <w:keepNext w:val="0"/>
              <w:keepLines w:val="0"/>
              <w:pageBreakBefore w:val="0"/>
              <w:widowControl/>
              <w:kinsoku/>
              <w:wordWrap/>
              <w:overflowPunct/>
              <w:topLinePunct w:val="0"/>
              <w:autoSpaceDE/>
              <w:autoSpaceDN/>
              <w:bidi w:val="0"/>
              <w:adjustRightInd w:val="0"/>
              <w:snapToGrid w:val="0"/>
              <w:spacing w:after="0" w:line="500" w:lineRule="exact"/>
              <w:ind w:left="0" w:leftChars="0" w:firstLine="0" w:firstLineChars="0"/>
              <w:textAlignment w:val="auto"/>
              <w:rPr>
                <w:b/>
                <w:bCs/>
                <w:color w:val="000000"/>
                <w:szCs w:val="24"/>
              </w:rPr>
            </w:pPr>
            <w:r>
              <w:rPr>
                <w:rFonts w:hint="eastAsia"/>
                <w:b/>
                <w:bCs/>
                <w:color w:val="000000"/>
                <w:szCs w:val="24"/>
              </w:rPr>
              <w:t>6、与危废行业相关文件相符性分析</w:t>
            </w:r>
          </w:p>
          <w:p>
            <w:pPr>
              <w:pStyle w:val="60"/>
              <w:keepNext w:val="0"/>
              <w:keepLines w:val="0"/>
              <w:pageBreakBefore w:val="0"/>
              <w:widowControl w:val="0"/>
              <w:kinsoku/>
              <w:wordWrap/>
              <w:overflowPunct/>
              <w:topLinePunct w:val="0"/>
              <w:autoSpaceDE/>
              <w:autoSpaceDN/>
              <w:bidi w:val="0"/>
              <w:adjustRightInd w:val="0"/>
              <w:snapToGrid/>
              <w:spacing w:before="157" w:beforeLines="50" w:after="157" w:afterLines="50"/>
              <w:ind w:firstLine="422" w:firstLineChars="200"/>
              <w:jc w:val="center"/>
              <w:textAlignment w:val="auto"/>
              <w:rPr>
                <w:rFonts w:ascii="Times New Roman" w:hAnsi="Times New Roman" w:eastAsia="宋体" w:cs="Times New Roman"/>
                <w:b/>
                <w:bCs/>
                <w:kern w:val="0"/>
                <w:sz w:val="21"/>
                <w:szCs w:val="21"/>
                <w:lang w:val="en-US" w:eastAsia="zh-CN" w:bidi="ar-SA"/>
              </w:rPr>
            </w:pPr>
            <w:r>
              <w:rPr>
                <w:rFonts w:ascii="Times New Roman" w:hAnsi="Times New Roman" w:eastAsia="宋体" w:cs="Times New Roman"/>
                <w:b/>
                <w:bCs/>
                <w:kern w:val="0"/>
                <w:sz w:val="21"/>
                <w:szCs w:val="21"/>
                <w:lang w:val="en-US" w:eastAsia="zh-CN" w:bidi="ar-SA"/>
              </w:rPr>
              <w:t>表1-</w:t>
            </w:r>
            <w:r>
              <w:rPr>
                <w:rFonts w:hint="eastAsia" w:ascii="Times New Roman" w:hAnsi="Times New Roman" w:eastAsia="宋体" w:cs="Times New Roman"/>
                <w:b/>
                <w:bCs/>
                <w:kern w:val="0"/>
                <w:sz w:val="21"/>
                <w:szCs w:val="21"/>
                <w:lang w:val="en-US" w:eastAsia="zh-CN" w:bidi="ar-SA"/>
              </w:rPr>
              <w:t>6</w:t>
            </w:r>
            <w:r>
              <w:rPr>
                <w:rFonts w:ascii="Times New Roman" w:hAnsi="Times New Roman" w:eastAsia="宋体" w:cs="Times New Roman"/>
                <w:b/>
                <w:bCs/>
                <w:kern w:val="0"/>
                <w:sz w:val="21"/>
                <w:szCs w:val="21"/>
                <w:lang w:val="en-US" w:eastAsia="zh-CN" w:bidi="ar-SA"/>
              </w:rPr>
              <w:t>与危废行业相关文件相符性分析表</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71"/>
              <w:gridCol w:w="1097"/>
              <w:gridCol w:w="3852"/>
              <w:gridCol w:w="1704"/>
              <w:gridCol w:w="72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dxa"/>
                  <w:tcMar>
                    <w:top w:w="0" w:type="dxa"/>
                    <w:left w:w="0" w:type="dxa"/>
                    <w:bottom w:w="0" w:type="dxa"/>
                    <w:right w:w="0" w:type="dxa"/>
                  </w:tcMar>
                  <w:vAlign w:val="center"/>
                </w:tcPr>
                <w:p>
                  <w:pPr>
                    <w:pStyle w:val="60"/>
                    <w:keepNext w:val="0"/>
                    <w:keepLines w:val="0"/>
                    <w:pageBreakBefore w:val="0"/>
                    <w:kinsoku/>
                    <w:wordWrap/>
                    <w:overflowPunct/>
                    <w:topLinePunct w:val="0"/>
                    <w:autoSpaceDE/>
                    <w:autoSpaceDN/>
                    <w:bidi w:val="0"/>
                    <w:adjustRightInd w:val="0"/>
                    <w:snapToGrid w:val="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1097" w:type="dxa"/>
                  <w:tcMar>
                    <w:top w:w="0" w:type="dxa"/>
                    <w:left w:w="0" w:type="dxa"/>
                    <w:bottom w:w="0" w:type="dxa"/>
                    <w:right w:w="0" w:type="dxa"/>
                  </w:tcMar>
                  <w:vAlign w:val="center"/>
                </w:tcPr>
                <w:p>
                  <w:pPr>
                    <w:pStyle w:val="60"/>
                    <w:keepNext w:val="0"/>
                    <w:keepLines w:val="0"/>
                    <w:pageBreakBefore w:val="0"/>
                    <w:kinsoku/>
                    <w:wordWrap/>
                    <w:overflowPunct/>
                    <w:topLinePunct w:val="0"/>
                    <w:autoSpaceDE/>
                    <w:autoSpaceDN/>
                    <w:bidi w:val="0"/>
                    <w:adjustRightInd w:val="0"/>
                    <w:snapToGrid w:val="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文件</w:t>
                  </w:r>
                </w:p>
              </w:tc>
              <w:tc>
                <w:tcPr>
                  <w:tcW w:w="3852" w:type="dxa"/>
                  <w:tcMar>
                    <w:top w:w="0" w:type="dxa"/>
                    <w:left w:w="0" w:type="dxa"/>
                    <w:bottom w:w="0" w:type="dxa"/>
                    <w:right w:w="0" w:type="dxa"/>
                  </w:tcMar>
                  <w:vAlign w:val="center"/>
                </w:tcPr>
                <w:p>
                  <w:pPr>
                    <w:pStyle w:val="60"/>
                    <w:keepNext w:val="0"/>
                    <w:keepLines w:val="0"/>
                    <w:pageBreakBefore w:val="0"/>
                    <w:kinsoku/>
                    <w:wordWrap/>
                    <w:overflowPunct/>
                    <w:topLinePunct w:val="0"/>
                    <w:autoSpaceDE/>
                    <w:autoSpaceDN/>
                    <w:bidi w:val="0"/>
                    <w:adjustRightInd w:val="0"/>
                    <w:snapToGrid w:val="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文件要求</w:t>
                  </w:r>
                </w:p>
              </w:tc>
              <w:tc>
                <w:tcPr>
                  <w:tcW w:w="1704" w:type="dxa"/>
                  <w:tcMar>
                    <w:top w:w="0" w:type="dxa"/>
                    <w:left w:w="0" w:type="dxa"/>
                    <w:bottom w:w="0" w:type="dxa"/>
                    <w:right w:w="0" w:type="dxa"/>
                  </w:tcMar>
                  <w:vAlign w:val="center"/>
                </w:tcPr>
                <w:p>
                  <w:pPr>
                    <w:pStyle w:val="60"/>
                    <w:keepNext w:val="0"/>
                    <w:keepLines w:val="0"/>
                    <w:pageBreakBefore w:val="0"/>
                    <w:kinsoku/>
                    <w:wordWrap/>
                    <w:overflowPunct/>
                    <w:topLinePunct w:val="0"/>
                    <w:autoSpaceDE/>
                    <w:autoSpaceDN/>
                    <w:bidi w:val="0"/>
                    <w:adjustRightInd w:val="0"/>
                    <w:snapToGrid w:val="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相符性分析</w:t>
                  </w:r>
                </w:p>
              </w:tc>
              <w:tc>
                <w:tcPr>
                  <w:tcW w:w="723" w:type="dxa"/>
                  <w:tcMar>
                    <w:top w:w="0" w:type="dxa"/>
                    <w:left w:w="0" w:type="dxa"/>
                    <w:bottom w:w="0" w:type="dxa"/>
                    <w:right w:w="0" w:type="dxa"/>
                  </w:tcMar>
                  <w:vAlign w:val="center"/>
                </w:tcPr>
                <w:p>
                  <w:pPr>
                    <w:pStyle w:val="60"/>
                    <w:keepNext w:val="0"/>
                    <w:keepLines w:val="0"/>
                    <w:pageBreakBefore w:val="0"/>
                    <w:kinsoku/>
                    <w:wordWrap/>
                    <w:overflowPunct/>
                    <w:topLinePunct w:val="0"/>
                    <w:autoSpaceDE/>
                    <w:autoSpaceDN/>
                    <w:bidi w:val="0"/>
                    <w:adjustRightInd w:val="0"/>
                    <w:snapToGrid w:val="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14:textFill>
                        <w14:solidFill>
                          <w14:schemeClr w14:val="tx1"/>
                        </w14:solidFill>
                      </w14:textFill>
                    </w:rPr>
                  </w:pPr>
                  <w:r>
                    <w:rPr>
                      <w:rFonts w:ascii="Times New Roman" w:hAnsi="Times New Roman"/>
                      <w:b w:val="0"/>
                      <w:bCs/>
                      <w:color w:val="000000" w:themeColor="text1"/>
                      <w:sz w:val="21"/>
                      <w:szCs w:val="21"/>
                      <w14:textFill>
                        <w14:solidFill>
                          <w14:schemeClr w14:val="tx1"/>
                        </w14:solidFill>
                      </w14:textFill>
                    </w:rPr>
                    <w:t>1</w:t>
                  </w:r>
                </w:p>
              </w:tc>
              <w:tc>
                <w:tcPr>
                  <w:tcW w:w="1097"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lang w:bidi="zh-CN"/>
                      <w14:textFill>
                        <w14:solidFill>
                          <w14:schemeClr w14:val="tx1"/>
                        </w14:solidFill>
                      </w14:textFill>
                    </w:rPr>
                  </w:pPr>
                  <w:r>
                    <w:rPr>
                      <w:rFonts w:ascii="Times New Roman" w:hAnsi="Times New Roman"/>
                      <w:b w:val="0"/>
                      <w:bCs/>
                      <w:color w:val="000000" w:themeColor="text1"/>
                      <w:sz w:val="21"/>
                      <w:szCs w:val="21"/>
                      <w:lang w:bidi="zh-CN"/>
                      <w14:textFill>
                        <w14:solidFill>
                          <w14:schemeClr w14:val="tx1"/>
                        </w14:solidFill>
                      </w14:textFill>
                    </w:rPr>
                    <w:t>省生态环境厅《关于开展全省固废危废环境隐患排查整治专项行动的通知》（苏环办</w:t>
                  </w:r>
                  <w:r>
                    <w:rPr>
                      <w:rFonts w:hint="eastAsia" w:ascii="Times New Roman" w:hAnsi="Times New Roman"/>
                      <w:b w:val="0"/>
                      <w:bCs/>
                      <w:color w:val="000000" w:themeColor="text1"/>
                      <w:sz w:val="21"/>
                      <w:szCs w:val="21"/>
                      <w:lang w:bidi="zh-CN"/>
                      <w14:textFill>
                        <w14:solidFill>
                          <w14:schemeClr w14:val="tx1"/>
                        </w14:solidFill>
                      </w14:textFill>
                    </w:rPr>
                    <w:t>〔</w:t>
                  </w:r>
                  <w:r>
                    <w:rPr>
                      <w:rFonts w:ascii="Times New Roman" w:hAnsi="Times New Roman"/>
                      <w:b w:val="0"/>
                      <w:bCs/>
                      <w:color w:val="000000" w:themeColor="text1"/>
                      <w:sz w:val="21"/>
                      <w:szCs w:val="21"/>
                      <w:lang w:bidi="zh-CN"/>
                      <w14:textFill>
                        <w14:solidFill>
                          <w14:schemeClr w14:val="tx1"/>
                        </w14:solidFill>
                      </w14:textFill>
                    </w:rPr>
                    <w:t>2019</w:t>
                  </w:r>
                  <w:r>
                    <w:rPr>
                      <w:rFonts w:hint="eastAsia" w:ascii="Times New Roman" w:hAnsi="Times New Roman"/>
                      <w:b w:val="0"/>
                      <w:bCs/>
                      <w:color w:val="000000" w:themeColor="text1"/>
                      <w:sz w:val="21"/>
                      <w:szCs w:val="21"/>
                      <w:lang w:bidi="zh-CN"/>
                      <w14:textFill>
                        <w14:solidFill>
                          <w14:schemeClr w14:val="tx1"/>
                        </w14:solidFill>
                      </w14:textFill>
                    </w:rPr>
                    <w:t>〕</w:t>
                  </w:r>
                  <w:r>
                    <w:rPr>
                      <w:rFonts w:ascii="Times New Roman" w:hAnsi="Times New Roman"/>
                      <w:b w:val="0"/>
                      <w:bCs/>
                      <w:color w:val="000000" w:themeColor="text1"/>
                      <w:sz w:val="21"/>
                      <w:szCs w:val="21"/>
                      <w:lang w:bidi="zh-CN"/>
                      <w14:textFill>
                        <w14:solidFill>
                          <w14:schemeClr w14:val="tx1"/>
                        </w14:solidFill>
                      </w14:textFill>
                    </w:rPr>
                    <w:t>104号）</w:t>
                  </w:r>
                </w:p>
              </w:tc>
              <w:tc>
                <w:tcPr>
                  <w:tcW w:w="3852"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ind w:firstLine="420" w:firstLineChars="200"/>
                    <w:jc w:val="center"/>
                    <w:textAlignment w:val="auto"/>
                    <w:rPr>
                      <w:rFonts w:ascii="Times New Roman" w:hAnsi="Times New Roman"/>
                      <w:b w:val="0"/>
                      <w:bCs/>
                      <w:color w:val="000000" w:themeColor="text1"/>
                      <w:sz w:val="21"/>
                      <w:szCs w:val="21"/>
                      <w:lang w:bidi="zh-CN"/>
                      <w14:textFill>
                        <w14:solidFill>
                          <w14:schemeClr w14:val="tx1"/>
                        </w14:solidFill>
                      </w14:textFill>
                    </w:rPr>
                  </w:pPr>
                  <w:r>
                    <w:rPr>
                      <w:rFonts w:ascii="Times New Roman" w:hAnsi="Times New Roman"/>
                      <w:b w:val="0"/>
                      <w:bCs/>
                      <w:color w:val="000000" w:themeColor="text1"/>
                      <w:sz w:val="21"/>
                      <w:szCs w:val="21"/>
                      <w:lang w:bidi="zh-CN"/>
                      <w14:textFill>
                        <w14:solidFill>
                          <w14:schemeClr w14:val="tx1"/>
                        </w14:solidFill>
                      </w14:textFill>
                    </w:rPr>
                    <w:t>各相关风险企业要切实落实污染防治的主体责任，要立即组织企业环保、安全管理人员，对照相关法律法规和标准规范规定，全面排查固废危废环境安全隐患，必要时可聘请安全生产领域的专家参与检查。要严格按照危险废物规范化管理要求，对企业申报、台账、贮存、转移、利用处置环境管理情况进一步进行自查，并排查是否存在非法填埋或倾倒、遗留固体废物的情况。要完善固废危废环境事故应急预案（综合性应急预案有相关篇章或者专门应急预案），加强值班巡查，组织相关应急演练。</w:t>
                  </w:r>
                </w:p>
              </w:tc>
              <w:tc>
                <w:tcPr>
                  <w:tcW w:w="1704"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14:textFill>
                        <w14:solidFill>
                          <w14:schemeClr w14:val="tx1"/>
                        </w14:solidFill>
                      </w14:textFill>
                    </w:rPr>
                  </w:pPr>
                  <w:r>
                    <w:rPr>
                      <w:rFonts w:ascii="Times New Roman" w:hAnsi="Times New Roman"/>
                      <w:b w:val="0"/>
                      <w:bCs/>
                      <w:color w:val="000000" w:themeColor="text1"/>
                      <w:sz w:val="21"/>
                      <w:szCs w:val="21"/>
                      <w14:textFill>
                        <w14:solidFill>
                          <w14:schemeClr w14:val="tx1"/>
                        </w14:solidFill>
                      </w14:textFill>
                    </w:rPr>
                    <w:t>本项目为</w:t>
                  </w:r>
                  <w:r>
                    <w:rPr>
                      <w:rFonts w:hint="eastAsia" w:ascii="Times New Roman" w:hAnsi="Times New Roman"/>
                      <w:b w:val="0"/>
                      <w:bCs/>
                      <w:color w:val="000000" w:themeColor="text1"/>
                      <w:sz w:val="21"/>
                      <w:szCs w:val="21"/>
                      <w14:textFill>
                        <w14:solidFill>
                          <w14:schemeClr w14:val="tx1"/>
                        </w14:solidFill>
                      </w14:textFill>
                    </w:rPr>
                    <w:t>新建</w:t>
                  </w:r>
                  <w:r>
                    <w:rPr>
                      <w:rFonts w:ascii="Times New Roman" w:hAnsi="Times New Roman"/>
                      <w:b w:val="0"/>
                      <w:bCs/>
                      <w:color w:val="000000" w:themeColor="text1"/>
                      <w:sz w:val="21"/>
                      <w:szCs w:val="21"/>
                      <w14:textFill>
                        <w14:solidFill>
                          <w14:schemeClr w14:val="tx1"/>
                        </w14:solidFill>
                      </w14:textFill>
                    </w:rPr>
                    <w:t>项目，将严格按照危险废物规范化管理要求，对企业申报、台账、贮存等环境管理情况进一步进行自查，不存在非法填埋或倾倒、遗留固体废物等情况。</w:t>
                  </w:r>
                </w:p>
              </w:tc>
              <w:tc>
                <w:tcPr>
                  <w:tcW w:w="723"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14:textFill>
                        <w14:solidFill>
                          <w14:schemeClr w14:val="tx1"/>
                        </w14:solidFill>
                      </w14:textFill>
                    </w:rPr>
                  </w:pPr>
                  <w:r>
                    <w:rPr>
                      <w:rFonts w:ascii="Times New Roman" w:hAnsi="Times New Roman"/>
                      <w:b w:val="0"/>
                      <w:bCs/>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14:textFill>
                        <w14:solidFill>
                          <w14:schemeClr w14:val="tx1"/>
                        </w14:solidFill>
                      </w14:textFill>
                    </w:rPr>
                  </w:pPr>
                  <w:r>
                    <w:rPr>
                      <w:rFonts w:ascii="Times New Roman" w:hAnsi="Times New Roman"/>
                      <w:b w:val="0"/>
                      <w:bCs/>
                      <w:color w:val="000000" w:themeColor="text1"/>
                      <w:sz w:val="21"/>
                      <w:szCs w:val="21"/>
                      <w14:textFill>
                        <w14:solidFill>
                          <w14:schemeClr w14:val="tx1"/>
                        </w14:solidFill>
                      </w14:textFill>
                    </w:rPr>
                    <w:t>2</w:t>
                  </w:r>
                </w:p>
              </w:tc>
              <w:tc>
                <w:tcPr>
                  <w:tcW w:w="1097"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lang w:bidi="zh-CN"/>
                      <w14:textFill>
                        <w14:solidFill>
                          <w14:schemeClr w14:val="tx1"/>
                        </w14:solidFill>
                      </w14:textFill>
                    </w:rPr>
                  </w:pPr>
                  <w:r>
                    <w:rPr>
                      <w:rFonts w:ascii="Times New Roman" w:hAnsi="Times New Roman"/>
                      <w:b w:val="0"/>
                      <w:bCs/>
                      <w:color w:val="000000" w:themeColor="text1"/>
                      <w:sz w:val="21"/>
                      <w:szCs w:val="21"/>
                      <w:lang w:bidi="zh-CN"/>
                      <w14:textFill>
                        <w14:solidFill>
                          <w14:schemeClr w14:val="tx1"/>
                        </w14:solidFill>
                      </w14:textFill>
                    </w:rPr>
                    <w:t>《关于印发江苏省危险废物贮存规范化管理专项整治行动方案的通知》（苏环办</w:t>
                  </w:r>
                  <w:r>
                    <w:rPr>
                      <w:rFonts w:hint="eastAsia" w:ascii="Times New Roman" w:hAnsi="Times New Roman"/>
                      <w:b w:val="0"/>
                      <w:bCs/>
                      <w:color w:val="000000" w:themeColor="text1"/>
                      <w:sz w:val="21"/>
                      <w:szCs w:val="21"/>
                      <w:lang w:bidi="zh-CN"/>
                      <w14:textFill>
                        <w14:solidFill>
                          <w14:schemeClr w14:val="tx1"/>
                        </w14:solidFill>
                      </w14:textFill>
                    </w:rPr>
                    <w:t>〔</w:t>
                  </w:r>
                  <w:r>
                    <w:rPr>
                      <w:rFonts w:ascii="Times New Roman" w:hAnsi="Times New Roman"/>
                      <w:b w:val="0"/>
                      <w:bCs/>
                      <w:color w:val="000000" w:themeColor="text1"/>
                      <w:sz w:val="21"/>
                      <w:szCs w:val="21"/>
                      <w:lang w:bidi="zh-CN"/>
                      <w14:textFill>
                        <w14:solidFill>
                          <w14:schemeClr w14:val="tx1"/>
                        </w14:solidFill>
                      </w14:textFill>
                    </w:rPr>
                    <w:t>2019</w:t>
                  </w:r>
                  <w:r>
                    <w:rPr>
                      <w:rFonts w:hint="eastAsia" w:ascii="Times New Roman" w:hAnsi="Times New Roman"/>
                      <w:b w:val="0"/>
                      <w:bCs/>
                      <w:color w:val="000000" w:themeColor="text1"/>
                      <w:sz w:val="21"/>
                      <w:szCs w:val="21"/>
                      <w:lang w:bidi="zh-CN"/>
                      <w14:textFill>
                        <w14:solidFill>
                          <w14:schemeClr w14:val="tx1"/>
                        </w14:solidFill>
                      </w14:textFill>
                    </w:rPr>
                    <w:t>〕</w:t>
                  </w:r>
                  <w:r>
                    <w:rPr>
                      <w:rFonts w:ascii="Times New Roman" w:hAnsi="Times New Roman"/>
                      <w:b w:val="0"/>
                      <w:bCs/>
                      <w:color w:val="000000" w:themeColor="text1"/>
                      <w:sz w:val="21"/>
                      <w:szCs w:val="21"/>
                      <w:lang w:bidi="zh-CN"/>
                      <w14:textFill>
                        <w14:solidFill>
                          <w14:schemeClr w14:val="tx1"/>
                        </w14:solidFill>
                      </w14:textFill>
                    </w:rPr>
                    <w:t>149号）</w:t>
                  </w:r>
                </w:p>
              </w:tc>
              <w:tc>
                <w:tcPr>
                  <w:tcW w:w="3852"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ind w:firstLine="420" w:firstLineChars="200"/>
                    <w:jc w:val="center"/>
                    <w:textAlignment w:val="auto"/>
                    <w:rPr>
                      <w:rFonts w:ascii="Times New Roman" w:hAnsi="Times New Roman"/>
                      <w:b w:val="0"/>
                      <w:bCs/>
                      <w:color w:val="000000" w:themeColor="text1"/>
                      <w:sz w:val="21"/>
                      <w:szCs w:val="21"/>
                      <w:lang w:bidi="zh-CN"/>
                      <w14:textFill>
                        <w14:solidFill>
                          <w14:schemeClr w14:val="tx1"/>
                        </w14:solidFill>
                      </w14:textFill>
                    </w:rPr>
                  </w:pPr>
                  <w:r>
                    <w:rPr>
                      <w:rFonts w:ascii="Times New Roman" w:hAnsi="Times New Roman"/>
                      <w:b w:val="0"/>
                      <w:bCs/>
                      <w:color w:val="000000" w:themeColor="text1"/>
                      <w:sz w:val="21"/>
                      <w:szCs w:val="21"/>
                      <w:lang w:bidi="zh-CN"/>
                      <w14:textFill>
                        <w14:solidFill>
                          <w14:schemeClr w14:val="tx1"/>
                        </w14:solidFill>
                      </w14:textFill>
                    </w:rPr>
                    <w:t>形成贮存设施清单并醒目张贴：相关企业应对照自查内容，开展自查自纠工作，并重点自查易燃、易爆及排出有毒气体的危险废物的规范贮存情况，形成危险废物贮存设施清单，并张贴在厂区醒目位置。清单内容百科危险废物贮存设施名称、编号、位置、面积和贮存危险废物种类、危险特性、贮存方式、贮存容积、周转周期等；</w:t>
                  </w:r>
                </w:p>
                <w:p>
                  <w:pPr>
                    <w:pStyle w:val="63"/>
                    <w:keepNext w:val="0"/>
                    <w:keepLines w:val="0"/>
                    <w:pageBreakBefore w:val="0"/>
                    <w:kinsoku/>
                    <w:wordWrap/>
                    <w:overflowPunct/>
                    <w:topLinePunct w:val="0"/>
                    <w:autoSpaceDE/>
                    <w:autoSpaceDN/>
                    <w:bidi w:val="0"/>
                    <w:snapToGrid w:val="0"/>
                    <w:spacing w:line="240" w:lineRule="auto"/>
                    <w:ind w:firstLine="420" w:firstLineChars="200"/>
                    <w:jc w:val="center"/>
                    <w:textAlignment w:val="auto"/>
                    <w:rPr>
                      <w:rFonts w:ascii="Times New Roman" w:hAnsi="Times New Roman"/>
                      <w:b w:val="0"/>
                      <w:bCs/>
                      <w:color w:val="000000" w:themeColor="text1"/>
                      <w:sz w:val="21"/>
                      <w:szCs w:val="21"/>
                      <w:lang w:bidi="zh-CN"/>
                      <w14:textFill>
                        <w14:solidFill>
                          <w14:schemeClr w14:val="tx1"/>
                        </w14:solidFill>
                      </w14:textFill>
                    </w:rPr>
                  </w:pPr>
                  <w:r>
                    <w:rPr>
                      <w:rFonts w:ascii="Times New Roman" w:hAnsi="Times New Roman"/>
                      <w:b w:val="0"/>
                      <w:bCs/>
                      <w:color w:val="000000" w:themeColor="text1"/>
                      <w:sz w:val="21"/>
                      <w:szCs w:val="21"/>
                      <w:lang w:bidi="zh-CN"/>
                      <w14:textFill>
                        <w14:solidFill>
                          <w14:schemeClr w14:val="tx1"/>
                        </w14:solidFill>
                      </w14:textFill>
                    </w:rPr>
                    <w:t>整治中间产物长期贮存环境隐患：相关企业对长期贮存的中间产物（超过6个月），原则上要在3个内返生产，否则应对中间产物进行执法核查；</w:t>
                  </w:r>
                </w:p>
                <w:p>
                  <w:pPr>
                    <w:pStyle w:val="63"/>
                    <w:keepNext w:val="0"/>
                    <w:keepLines w:val="0"/>
                    <w:pageBreakBefore w:val="0"/>
                    <w:kinsoku/>
                    <w:wordWrap/>
                    <w:overflowPunct/>
                    <w:topLinePunct w:val="0"/>
                    <w:autoSpaceDE/>
                    <w:autoSpaceDN/>
                    <w:bidi w:val="0"/>
                    <w:snapToGrid w:val="0"/>
                    <w:spacing w:line="240" w:lineRule="auto"/>
                    <w:ind w:firstLine="420" w:firstLineChars="200"/>
                    <w:jc w:val="center"/>
                    <w:textAlignment w:val="auto"/>
                    <w:rPr>
                      <w:rFonts w:ascii="Times New Roman" w:hAnsi="Times New Roman"/>
                      <w:b w:val="0"/>
                      <w:bCs/>
                      <w:color w:val="000000" w:themeColor="text1"/>
                      <w:sz w:val="21"/>
                      <w:szCs w:val="21"/>
                      <w:lang w:bidi="zh-CN"/>
                      <w14:textFill>
                        <w14:solidFill>
                          <w14:schemeClr w14:val="tx1"/>
                        </w14:solidFill>
                      </w14:textFill>
                    </w:rPr>
                  </w:pPr>
                  <w:r>
                    <w:rPr>
                      <w:rFonts w:ascii="Times New Roman" w:hAnsi="Times New Roman"/>
                      <w:b w:val="0"/>
                      <w:bCs/>
                      <w:color w:val="000000" w:themeColor="text1"/>
                      <w:sz w:val="21"/>
                      <w:szCs w:val="21"/>
                      <w:lang w:bidi="zh-CN"/>
                      <w14:textFill>
                        <w14:solidFill>
                          <w14:schemeClr w14:val="tx1"/>
                        </w14:solidFill>
                      </w14:textFill>
                    </w:rPr>
                    <w:t>及时整改并上报备案：相关企业对自查发现的问题，要立即对照相关标准规范等要求及时整改到位（环评问题半年内、其他问题3个月内），并将整改情况及时提交街道环保所报备。</w:t>
                  </w:r>
                </w:p>
              </w:tc>
              <w:tc>
                <w:tcPr>
                  <w:tcW w:w="1704"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14:textFill>
                        <w14:solidFill>
                          <w14:schemeClr w14:val="tx1"/>
                        </w14:solidFill>
                      </w14:textFill>
                    </w:rPr>
                  </w:pPr>
                  <w:r>
                    <w:rPr>
                      <w:rFonts w:ascii="Times New Roman" w:hAnsi="Times New Roman"/>
                      <w:b w:val="0"/>
                      <w:bCs/>
                      <w:color w:val="000000" w:themeColor="text1"/>
                      <w:sz w:val="21"/>
                      <w:szCs w:val="21"/>
                      <w14:textFill>
                        <w14:solidFill>
                          <w14:schemeClr w14:val="tx1"/>
                        </w14:solidFill>
                      </w14:textFill>
                    </w:rPr>
                    <w:t>厂区将严格按照要求于危废仓库张贴醒目标识。库区各类危险废物分类贮存，形成危险废物贮存设施清单，并张贴在厂区醒目位置。危废转移及时整改并上报备案</w:t>
                  </w:r>
                  <w:r>
                    <w:rPr>
                      <w:rFonts w:hint="eastAsia" w:ascii="Times New Roman" w:hAnsi="Times New Roman"/>
                      <w:b w:val="0"/>
                      <w:bCs/>
                      <w:color w:val="000000" w:themeColor="text1"/>
                      <w:sz w:val="21"/>
                      <w:szCs w:val="21"/>
                      <w14:textFill>
                        <w14:solidFill>
                          <w14:schemeClr w14:val="tx1"/>
                        </w14:solidFill>
                      </w14:textFill>
                    </w:rPr>
                    <w:t>。</w:t>
                  </w:r>
                </w:p>
              </w:tc>
              <w:tc>
                <w:tcPr>
                  <w:tcW w:w="723"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14:textFill>
                        <w14:solidFill>
                          <w14:schemeClr w14:val="tx1"/>
                        </w14:solidFill>
                      </w14:textFill>
                    </w:rPr>
                  </w:pPr>
                  <w:r>
                    <w:rPr>
                      <w:rFonts w:ascii="Times New Roman" w:hAnsi="Times New Roman"/>
                      <w:b w:val="0"/>
                      <w:bCs/>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14:textFill>
                        <w14:solidFill>
                          <w14:schemeClr w14:val="tx1"/>
                        </w14:solidFill>
                      </w14:textFill>
                    </w:rPr>
                  </w:pPr>
                  <w:r>
                    <w:rPr>
                      <w:rFonts w:ascii="Times New Roman" w:hAnsi="Times New Roman"/>
                      <w:b w:val="0"/>
                      <w:bCs/>
                      <w:color w:val="000000" w:themeColor="text1"/>
                      <w:sz w:val="21"/>
                      <w:szCs w:val="21"/>
                      <w14:textFill>
                        <w14:solidFill>
                          <w14:schemeClr w14:val="tx1"/>
                        </w14:solidFill>
                      </w14:textFill>
                    </w:rPr>
                    <w:t>3</w:t>
                  </w:r>
                </w:p>
              </w:tc>
              <w:tc>
                <w:tcPr>
                  <w:tcW w:w="1097"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lang w:bidi="zh-CN"/>
                      <w14:textFill>
                        <w14:solidFill>
                          <w14:schemeClr w14:val="tx1"/>
                        </w14:solidFill>
                      </w14:textFill>
                    </w:rPr>
                  </w:pPr>
                  <w:r>
                    <w:rPr>
                      <w:rFonts w:ascii="Times New Roman" w:hAnsi="Times New Roman"/>
                      <w:b w:val="0"/>
                      <w:bCs/>
                      <w:color w:val="000000" w:themeColor="text1"/>
                      <w:sz w:val="21"/>
                      <w:szCs w:val="21"/>
                      <w:lang w:bidi="zh-CN"/>
                      <w14:textFill>
                        <w14:solidFill>
                          <w14:schemeClr w14:val="tx1"/>
                        </w14:solidFill>
                      </w14:textFill>
                    </w:rPr>
                    <w:t>《省生态环境厅关于进一步加强危险废物污染防治工作的实施意见》（苏环办</w:t>
                  </w:r>
                  <w:r>
                    <w:rPr>
                      <w:rFonts w:hint="eastAsia" w:ascii="Times New Roman" w:hAnsi="Times New Roman"/>
                      <w:b w:val="0"/>
                      <w:bCs/>
                      <w:color w:val="000000" w:themeColor="text1"/>
                      <w:sz w:val="21"/>
                      <w:szCs w:val="21"/>
                      <w:lang w:bidi="zh-CN"/>
                      <w14:textFill>
                        <w14:solidFill>
                          <w14:schemeClr w14:val="tx1"/>
                        </w14:solidFill>
                      </w14:textFill>
                    </w:rPr>
                    <w:t>〔</w:t>
                  </w:r>
                  <w:r>
                    <w:rPr>
                      <w:rFonts w:ascii="Times New Roman" w:hAnsi="Times New Roman"/>
                      <w:b w:val="0"/>
                      <w:bCs/>
                      <w:color w:val="000000" w:themeColor="text1"/>
                      <w:sz w:val="21"/>
                      <w:szCs w:val="21"/>
                      <w:lang w:bidi="zh-CN"/>
                      <w14:textFill>
                        <w14:solidFill>
                          <w14:schemeClr w14:val="tx1"/>
                        </w14:solidFill>
                      </w14:textFill>
                    </w:rPr>
                    <w:t>2019</w:t>
                  </w:r>
                  <w:r>
                    <w:rPr>
                      <w:rFonts w:hint="eastAsia" w:ascii="Times New Roman" w:hAnsi="Times New Roman"/>
                      <w:b w:val="0"/>
                      <w:bCs/>
                      <w:color w:val="000000" w:themeColor="text1"/>
                      <w:sz w:val="21"/>
                      <w:szCs w:val="21"/>
                      <w:lang w:bidi="zh-CN"/>
                      <w14:textFill>
                        <w14:solidFill>
                          <w14:schemeClr w14:val="tx1"/>
                        </w14:solidFill>
                      </w14:textFill>
                    </w:rPr>
                    <w:t>〕</w:t>
                  </w:r>
                  <w:r>
                    <w:rPr>
                      <w:rFonts w:ascii="Times New Roman" w:hAnsi="Times New Roman"/>
                      <w:b w:val="0"/>
                      <w:bCs/>
                      <w:color w:val="000000" w:themeColor="text1"/>
                      <w:sz w:val="21"/>
                      <w:szCs w:val="21"/>
                      <w:lang w:bidi="zh-CN"/>
                      <w14:textFill>
                        <w14:solidFill>
                          <w14:schemeClr w14:val="tx1"/>
                        </w14:solidFill>
                      </w14:textFill>
                    </w:rPr>
                    <w:t>327号）</w:t>
                  </w:r>
                </w:p>
              </w:tc>
              <w:tc>
                <w:tcPr>
                  <w:tcW w:w="3852"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lang w:bidi="zh-CN"/>
                      <w14:textFill>
                        <w14:solidFill>
                          <w14:schemeClr w14:val="tx1"/>
                        </w14:solidFill>
                      </w14:textFill>
                    </w:rPr>
                  </w:pPr>
                  <w:r>
                    <w:rPr>
                      <w:rFonts w:ascii="Times New Roman" w:hAnsi="Times New Roman"/>
                      <w:b w:val="0"/>
                      <w:bCs/>
                      <w:color w:val="000000" w:themeColor="text1"/>
                      <w:sz w:val="21"/>
                      <w:szCs w:val="21"/>
                      <w:lang w:bidi="zh-CN"/>
                      <w14:textFill>
                        <w14:solidFill>
                          <w14:schemeClr w14:val="tx1"/>
                        </w14:solidFill>
                      </w14:textFill>
                    </w:rPr>
                    <w:t>企业应根据危险废物的种类和特性进行分区、分类贮存，设置防雨、防火、防扬散、防渗漏装置及泄漏液体收集装置。对易燃、易爆及排出有毒气体的危险废物进行预处理，稳定后贮存，否则按易爆、易燃危险品贮存。贮存废弃剧毒化学品的，应按照公安机关要求落实治安防范措施。危险废物经营单位需制定废物入场控制措施，并不得接受核准经营许可以外的种类；贮存设施周转的累积贮存量不得超过年许可经营能力的六分之一，贮存期限原则上不得超过一年。危险废物产生企业应结合自身实际，建立危险废物台账，如实记载危险废物的种类、数量、性质、产生环节、流向、贮存、利用处置等信息，并在</w:t>
                  </w:r>
                  <w:r>
                    <w:rPr>
                      <w:rFonts w:hint="eastAsia" w:ascii="Times New Roman" w:hAnsi="Times New Roman"/>
                      <w:b w:val="0"/>
                      <w:bCs/>
                      <w:color w:val="000000" w:themeColor="text1"/>
                      <w:sz w:val="21"/>
                      <w:szCs w:val="21"/>
                      <w:lang w:bidi="zh-CN"/>
                      <w14:textFill>
                        <w14:solidFill>
                          <w14:schemeClr w14:val="tx1"/>
                        </w14:solidFill>
                      </w14:textFill>
                    </w:rPr>
                    <w:t>“</w:t>
                  </w:r>
                  <w:r>
                    <w:rPr>
                      <w:rFonts w:ascii="Times New Roman" w:hAnsi="Times New Roman"/>
                      <w:b w:val="0"/>
                      <w:bCs/>
                      <w:color w:val="000000" w:themeColor="text1"/>
                      <w:sz w:val="21"/>
                      <w:szCs w:val="21"/>
                      <w:lang w:bidi="zh-CN"/>
                      <w14:textFill>
                        <w14:solidFill>
                          <w14:schemeClr w14:val="tx1"/>
                        </w14:solidFill>
                      </w14:textFill>
                    </w:rPr>
                    <w:t>江苏省危险废物动态管理信息系统</w:t>
                  </w:r>
                  <w:r>
                    <w:rPr>
                      <w:rFonts w:hint="eastAsia" w:ascii="Times New Roman" w:hAnsi="Times New Roman"/>
                      <w:b w:val="0"/>
                      <w:bCs/>
                      <w:color w:val="000000" w:themeColor="text1"/>
                      <w:sz w:val="21"/>
                      <w:szCs w:val="21"/>
                      <w:lang w:bidi="zh-CN"/>
                      <w14:textFill>
                        <w14:solidFill>
                          <w14:schemeClr w14:val="tx1"/>
                        </w14:solidFill>
                      </w14:textFill>
                    </w:rPr>
                    <w:t>”</w:t>
                  </w:r>
                  <w:r>
                    <w:rPr>
                      <w:rFonts w:ascii="Times New Roman" w:hAnsi="Times New Roman"/>
                      <w:b w:val="0"/>
                      <w:bCs/>
                      <w:color w:val="000000" w:themeColor="text1"/>
                      <w:sz w:val="21"/>
                      <w:szCs w:val="21"/>
                      <w:lang w:bidi="zh-CN"/>
                      <w14:textFill>
                        <w14:solidFill>
                          <w14:schemeClr w14:val="tx1"/>
                        </w14:solidFill>
                      </w14:textFill>
                    </w:rPr>
                    <w:t>中进行如实规范申报，申报数据应与台账、管理计划数据相一致。</w:t>
                  </w:r>
                </w:p>
              </w:tc>
              <w:tc>
                <w:tcPr>
                  <w:tcW w:w="1704"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14:textFill>
                        <w14:solidFill>
                          <w14:schemeClr w14:val="tx1"/>
                        </w14:solidFill>
                      </w14:textFill>
                    </w:rPr>
                  </w:pPr>
                  <w:r>
                    <w:rPr>
                      <w:rFonts w:ascii="Times New Roman" w:hAnsi="Times New Roman"/>
                      <w:b w:val="0"/>
                      <w:bCs/>
                      <w:color w:val="000000" w:themeColor="text1"/>
                      <w:sz w:val="21"/>
                      <w:szCs w:val="21"/>
                      <w14:textFill>
                        <w14:solidFill>
                          <w14:schemeClr w14:val="tx1"/>
                        </w14:solidFill>
                      </w14:textFill>
                    </w:rPr>
                    <w:t>本项目将严格按照危险废物规范化管理要求建设厂区危废仓库和贮存场所，对企业申报、台账、贮存、转移、利用处置环境管理情况进一步进行自查，杜绝违法违规情况。</w:t>
                  </w:r>
                </w:p>
              </w:tc>
              <w:tc>
                <w:tcPr>
                  <w:tcW w:w="723" w:type="dxa"/>
                  <w:tcMar>
                    <w:top w:w="0" w:type="dxa"/>
                    <w:left w:w="0" w:type="dxa"/>
                    <w:bottom w:w="0" w:type="dxa"/>
                    <w:right w:w="0" w:type="dxa"/>
                  </w:tcMar>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bCs/>
                      <w:color w:val="000000" w:themeColor="text1"/>
                      <w:sz w:val="21"/>
                      <w:szCs w:val="21"/>
                      <w14:textFill>
                        <w14:solidFill>
                          <w14:schemeClr w14:val="tx1"/>
                        </w14:solidFill>
                      </w14:textFill>
                    </w:rPr>
                  </w:pPr>
                  <w:r>
                    <w:rPr>
                      <w:rFonts w:ascii="Times New Roman" w:hAnsi="Times New Roman"/>
                      <w:b w:val="0"/>
                      <w:bCs/>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dxa"/>
                  <w:tcMar>
                    <w:top w:w="0" w:type="dxa"/>
                    <w:left w:w="0" w:type="dxa"/>
                    <w:bottom w:w="0" w:type="dxa"/>
                    <w:right w:w="0" w:type="dxa"/>
                  </w:tcMar>
                  <w:vAlign w:val="center"/>
                </w:tcPr>
                <w:p>
                  <w:pPr>
                    <w:pStyle w:val="60"/>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1097" w:type="dxa"/>
                  <w:tcMar>
                    <w:top w:w="0" w:type="dxa"/>
                    <w:left w:w="0" w:type="dxa"/>
                    <w:bottom w:w="0" w:type="dxa"/>
                    <w:right w:w="0" w:type="dxa"/>
                  </w:tcMar>
                  <w:vAlign w:val="center"/>
                </w:tcPr>
                <w:p>
                  <w:pPr>
                    <w:pStyle w:val="60"/>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江苏</w:t>
                  </w:r>
                  <w:r>
                    <w:rPr>
                      <w:rFonts w:hint="eastAsia"/>
                      <w:color w:val="000000" w:themeColor="text1"/>
                      <w:szCs w:val="21"/>
                      <w:lang w:val="en-US"/>
                      <w14:textFill>
                        <w14:solidFill>
                          <w14:schemeClr w14:val="tx1"/>
                        </w14:solidFill>
                      </w14:textFill>
                    </w:rPr>
                    <w:t>泰州</w:t>
                  </w:r>
                  <w:r>
                    <w:rPr>
                      <w:color w:val="000000" w:themeColor="text1"/>
                      <w:szCs w:val="21"/>
                      <w14:textFill>
                        <w14:solidFill>
                          <w14:schemeClr w14:val="tx1"/>
                        </w14:solidFill>
                      </w14:textFill>
                    </w:rPr>
                    <w:t>城市管理局危险废物处置专项整治实施方案</w:t>
                  </w:r>
                </w:p>
              </w:tc>
              <w:tc>
                <w:tcPr>
                  <w:tcW w:w="3852" w:type="dxa"/>
                  <w:tcMar>
                    <w:top w:w="0" w:type="dxa"/>
                    <w:left w:w="0" w:type="dxa"/>
                    <w:bottom w:w="0" w:type="dxa"/>
                    <w:right w:w="0" w:type="dxa"/>
                  </w:tcMar>
                  <w:vAlign w:val="center"/>
                </w:tcPr>
                <w:p>
                  <w:pPr>
                    <w:pStyle w:val="60"/>
                    <w:keepNext w:val="0"/>
                    <w:keepLines w:val="0"/>
                    <w:pageBreakBefore w:val="0"/>
                    <w:kinsoku/>
                    <w:wordWrap/>
                    <w:overflowPunct/>
                    <w:topLinePunct w:val="0"/>
                    <w:autoSpaceDE/>
                    <w:autoSpaceDN/>
                    <w:bidi w:val="0"/>
                    <w:adjustRightInd w:val="0"/>
                    <w:snapToGrid w:val="0"/>
                    <w:ind w:firstLine="420" w:firstLineChars="20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按照危险废物贮存标准和识别标识设置等相关要求，设置防扬散、防流失、防渗漏装置，规范危险废物信息公开栏、贮存设施警示标志牌，在出入口、设施内部、危险废物运输车辆通道等关键位置设置视频监控并与企业中控室联网。</w:t>
                  </w:r>
                </w:p>
                <w:p>
                  <w:pPr>
                    <w:pStyle w:val="60"/>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根据危险废物种类和危险特性分区分类贮存，建立规范的贮存台账。危险废物经营单位贮存设施累积贮存量不得超过年许可经营能力的六分之一，贮存期限原则上不得超过一年。</w:t>
                  </w:r>
                </w:p>
              </w:tc>
              <w:tc>
                <w:tcPr>
                  <w:tcW w:w="1704" w:type="dxa"/>
                  <w:tcMar>
                    <w:top w:w="0" w:type="dxa"/>
                    <w:left w:w="0" w:type="dxa"/>
                    <w:bottom w:w="0" w:type="dxa"/>
                    <w:right w:w="0" w:type="dxa"/>
                  </w:tcMar>
                  <w:vAlign w:val="center"/>
                </w:tcPr>
                <w:p>
                  <w:pPr>
                    <w:pStyle w:val="60"/>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本项目将严格按照危险废物规范化管理要求建设厂区危废仓库和贮存场所，对企业申报、台账、贮存、转移、利用处置环境管理情况进一步进行自查，杜绝违法违规情况。</w:t>
                  </w:r>
                </w:p>
              </w:tc>
              <w:tc>
                <w:tcPr>
                  <w:tcW w:w="723" w:type="dxa"/>
                  <w:tcMar>
                    <w:top w:w="0" w:type="dxa"/>
                    <w:left w:w="0" w:type="dxa"/>
                    <w:bottom w:w="0" w:type="dxa"/>
                    <w:right w:w="0" w:type="dxa"/>
                  </w:tcMar>
                  <w:vAlign w:val="center"/>
                </w:tcPr>
                <w:p>
                  <w:pPr>
                    <w:pStyle w:val="60"/>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bl>
          <w:p>
            <w:pPr>
              <w:pStyle w:val="32"/>
              <w:keepNext w:val="0"/>
              <w:keepLines w:val="0"/>
              <w:pageBreakBefore w:val="0"/>
              <w:widowControl/>
              <w:kinsoku/>
              <w:wordWrap/>
              <w:overflowPunct/>
              <w:topLinePunct w:val="0"/>
              <w:autoSpaceDE/>
              <w:autoSpaceDN/>
              <w:bidi w:val="0"/>
              <w:adjustRightInd w:val="0"/>
              <w:snapToGrid w:val="0"/>
              <w:spacing w:after="0" w:line="500" w:lineRule="exact"/>
              <w:ind w:left="0" w:leftChars="0" w:firstLine="0" w:firstLineChars="0"/>
              <w:textAlignment w:val="auto"/>
              <w:rPr>
                <w:b/>
                <w:bCs/>
                <w:color w:val="000000"/>
                <w:szCs w:val="24"/>
              </w:rPr>
            </w:pPr>
            <w:r>
              <w:rPr>
                <w:rFonts w:hint="eastAsia"/>
                <w:b/>
                <w:bCs/>
                <w:color w:val="000000"/>
                <w:szCs w:val="24"/>
              </w:rPr>
              <w:t>7、与《江苏省重点行业挥发性有机物污染控制指南》相符性分析</w:t>
            </w:r>
          </w:p>
          <w:p>
            <w:pPr>
              <w:pStyle w:val="60"/>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cs="Times New Roman"/>
                <w:bCs/>
                <w:sz w:val="24"/>
                <w:lang w:val="en-US"/>
              </w:rPr>
            </w:pPr>
            <w:r>
              <w:rPr>
                <w:rFonts w:ascii="Times New Roman" w:hAnsi="Times New Roman" w:cs="Times New Roman"/>
                <w:bCs/>
                <w:sz w:val="24"/>
                <w:lang w:val="en-US"/>
              </w:rPr>
              <w:t>根据《江苏省重点行业挥发性有机物污染控制指南的通知》提出：所有产生有机废气污染的企业，应优先选用环保型原辅料、生产工艺和装备，对相应的生产单元或设施进行密闭，从源头控制VOCs的产生，减少废气污染物的排放；鼓励对排放的VOCs进行回收利用，并优先在生产系统内回用。对浓度、性状差异较大的废气应分类收集，并采用适宜的方式进行有效处理，确保VOCs总去除率满足管理要求，其中有机化工、医药化工、橡胶和塑料制品（有溶剂浸胶工艺）、溶剂型涂料表面涂装、包装印刷业的VOCs总收集、净化处理率均不低于90%。</w:t>
            </w:r>
          </w:p>
          <w:p>
            <w:pPr>
              <w:pStyle w:val="60"/>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cs="Times New Roman"/>
                <w:bCs/>
                <w:sz w:val="24"/>
                <w:lang w:val="en-US"/>
              </w:rPr>
            </w:pPr>
            <w:r>
              <w:rPr>
                <w:rFonts w:ascii="Times New Roman" w:hAnsi="Times New Roman" w:cs="Times New Roman"/>
                <w:bCs/>
                <w:sz w:val="24"/>
                <w:lang w:val="en-US"/>
              </w:rPr>
              <w:t>本项目拟采用收集罩收集装置（收集效率为90%以上，本项目以90%计），</w:t>
            </w:r>
            <w:r>
              <w:rPr>
                <w:rFonts w:hint="eastAsia" w:ascii="Times New Roman" w:hAnsi="Times New Roman" w:cs="Times New Roman"/>
                <w:bCs/>
                <w:color w:val="0000FF"/>
                <w:sz w:val="24"/>
                <w:lang w:val="en-US" w:eastAsia="zh-CN"/>
              </w:rPr>
              <w:t>有机废气</w:t>
            </w:r>
            <w:r>
              <w:rPr>
                <w:rFonts w:ascii="Times New Roman" w:hAnsi="Times New Roman" w:cs="Times New Roman"/>
                <w:bCs/>
                <w:sz w:val="24"/>
                <w:lang w:val="en-US"/>
              </w:rPr>
              <w:t>收集后经二级活性炭吸附装置进行处理，处理效率为90%，最后通过</w:t>
            </w:r>
            <w:r>
              <w:rPr>
                <w:rFonts w:hint="eastAsia" w:ascii="Times New Roman" w:hAnsi="Times New Roman" w:cs="Times New Roman"/>
                <w:bCs/>
                <w:sz w:val="24"/>
                <w:lang w:val="en-US"/>
              </w:rPr>
              <w:t>15</w:t>
            </w:r>
            <w:r>
              <w:rPr>
                <w:rFonts w:ascii="Times New Roman" w:hAnsi="Times New Roman" w:cs="Times New Roman"/>
                <w:bCs/>
                <w:sz w:val="24"/>
                <w:lang w:val="en-US"/>
              </w:rPr>
              <w:t>m高排气筒排放，符合《江苏省重点行业挥发性有机物污染控制指南的通知》要求。</w:t>
            </w:r>
          </w:p>
          <w:p>
            <w:pPr>
              <w:pStyle w:val="32"/>
              <w:keepNext w:val="0"/>
              <w:keepLines w:val="0"/>
              <w:pageBreakBefore w:val="0"/>
              <w:widowControl/>
              <w:kinsoku/>
              <w:wordWrap/>
              <w:overflowPunct/>
              <w:topLinePunct w:val="0"/>
              <w:autoSpaceDE/>
              <w:autoSpaceDN/>
              <w:bidi w:val="0"/>
              <w:adjustRightInd w:val="0"/>
              <w:snapToGrid w:val="0"/>
              <w:spacing w:after="0" w:line="500" w:lineRule="exact"/>
              <w:ind w:left="0" w:leftChars="0" w:firstLine="0" w:firstLineChars="0"/>
              <w:textAlignment w:val="auto"/>
              <w:rPr>
                <w:b/>
                <w:bCs/>
                <w:color w:val="000000"/>
                <w:szCs w:val="24"/>
              </w:rPr>
            </w:pPr>
            <w:r>
              <w:rPr>
                <w:rFonts w:hint="eastAsia"/>
                <w:b/>
                <w:bCs/>
                <w:color w:val="000000"/>
                <w:szCs w:val="24"/>
              </w:rPr>
              <w:t>8、与《挥发性有机物（VOCS）污染防治技术政策》（公告2013年第31号）相符性分析</w:t>
            </w:r>
          </w:p>
          <w:p>
            <w:pPr>
              <w:pStyle w:val="60"/>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cs="Times New Roman"/>
                <w:sz w:val="24"/>
                <w:lang w:val="en-US"/>
              </w:rPr>
            </w:pPr>
            <w:r>
              <w:rPr>
                <w:rFonts w:ascii="Times New Roman" w:hAnsi="Times New Roman" w:cs="Times New Roman"/>
                <w:sz w:val="24"/>
                <w:lang w:val="en-US"/>
              </w:rPr>
              <w:t>对照《挥发性有机物（VOC</w:t>
            </w:r>
            <w:r>
              <w:rPr>
                <w:rFonts w:ascii="Times New Roman" w:hAnsi="Times New Roman" w:cs="Times New Roman"/>
                <w:sz w:val="24"/>
                <w:vertAlign w:val="subscript"/>
                <w:lang w:val="en-US"/>
              </w:rPr>
              <w:t>S</w:t>
            </w:r>
            <w:r>
              <w:rPr>
                <w:rFonts w:ascii="Times New Roman" w:hAnsi="Times New Roman" w:cs="Times New Roman"/>
                <w:sz w:val="24"/>
                <w:lang w:val="en-US"/>
              </w:rPr>
              <w:t>）污染防治技术政策》，对涉及的内容进行对照分析，详见表1-</w:t>
            </w:r>
            <w:r>
              <w:rPr>
                <w:rFonts w:hint="eastAsia" w:ascii="Times New Roman" w:hAnsi="Times New Roman" w:cs="Times New Roman"/>
                <w:sz w:val="24"/>
                <w:lang w:val="en-US"/>
              </w:rPr>
              <w:t>8。</w:t>
            </w:r>
          </w:p>
          <w:p>
            <w:pPr>
              <w:pStyle w:val="32"/>
              <w:keepNext w:val="0"/>
              <w:keepLines w:val="0"/>
              <w:pageBreakBefore w:val="0"/>
              <w:widowControl/>
              <w:kinsoku/>
              <w:wordWrap/>
              <w:overflowPunct/>
              <w:topLinePunct w:val="0"/>
              <w:autoSpaceDE/>
              <w:autoSpaceDN/>
              <w:bidi w:val="0"/>
              <w:adjustRightInd w:val="0"/>
              <w:snapToGrid w:val="0"/>
              <w:spacing w:before="157" w:beforeLines="50" w:after="157" w:afterLines="50"/>
              <w:ind w:left="0" w:leftChars="0" w:firstLine="0" w:firstLineChars="0"/>
              <w:jc w:val="center"/>
              <w:textAlignment w:val="auto"/>
              <w:rPr>
                <w:b/>
                <w:bCs/>
                <w:sz w:val="21"/>
                <w:szCs w:val="21"/>
              </w:rPr>
            </w:pPr>
            <w:r>
              <w:rPr>
                <w:rFonts w:hint="eastAsia"/>
                <w:b/>
                <w:bCs/>
                <w:sz w:val="21"/>
                <w:szCs w:val="21"/>
              </w:rPr>
              <w:t>表1-8与《</w:t>
            </w:r>
            <w:r>
              <w:rPr>
                <w:b/>
                <w:bCs/>
                <w:sz w:val="21"/>
                <w:szCs w:val="21"/>
              </w:rPr>
              <w:t>挥发性有机物（VOC</w:t>
            </w:r>
            <w:r>
              <w:rPr>
                <w:b/>
                <w:bCs/>
                <w:sz w:val="21"/>
                <w:szCs w:val="21"/>
                <w:vertAlign w:val="subscript"/>
              </w:rPr>
              <w:t>S</w:t>
            </w:r>
            <w:r>
              <w:rPr>
                <w:b/>
                <w:bCs/>
                <w:sz w:val="21"/>
                <w:szCs w:val="21"/>
              </w:rPr>
              <w:t>）污染防治技术政策</w:t>
            </w:r>
            <w:r>
              <w:rPr>
                <w:rFonts w:hint="eastAsia"/>
                <w:b/>
                <w:bCs/>
                <w:sz w:val="21"/>
                <w:szCs w:val="21"/>
              </w:rPr>
              <w:t>》相符性分析</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469"/>
              <w:gridCol w:w="2733"/>
              <w:gridCol w:w="6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47"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
                      <w:bCs/>
                      <w:color w:val="000000"/>
                      <w:kern w:val="0"/>
                      <w:szCs w:val="21"/>
                    </w:rPr>
                  </w:pPr>
                  <w:r>
                    <w:rPr>
                      <w:b/>
                      <w:bCs/>
                      <w:color w:val="000000"/>
                      <w:kern w:val="0"/>
                      <w:szCs w:val="21"/>
                    </w:rPr>
                    <w:t>相关内容（涉及主要内容）</w:t>
                  </w:r>
                </w:p>
              </w:tc>
              <w:tc>
                <w:tcPr>
                  <w:tcW w:w="1741"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
                      <w:bCs/>
                      <w:color w:val="000000"/>
                      <w:kern w:val="0"/>
                      <w:szCs w:val="21"/>
                    </w:rPr>
                  </w:pPr>
                  <w:r>
                    <w:rPr>
                      <w:rFonts w:hint="eastAsia"/>
                      <w:b/>
                      <w:bCs/>
                      <w:color w:val="000000"/>
                      <w:kern w:val="0"/>
                      <w:szCs w:val="21"/>
                    </w:rPr>
                    <w:t>相符</w:t>
                  </w:r>
                  <w:r>
                    <w:rPr>
                      <w:b/>
                      <w:bCs/>
                      <w:color w:val="000000"/>
                      <w:kern w:val="0"/>
                      <w:szCs w:val="21"/>
                    </w:rPr>
                    <w:t>性分析</w:t>
                  </w:r>
                </w:p>
              </w:tc>
              <w:tc>
                <w:tcPr>
                  <w:tcW w:w="410"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
                      <w:bCs/>
                      <w:color w:val="000000"/>
                      <w:kern w:val="0"/>
                      <w:szCs w:val="21"/>
                    </w:rPr>
                  </w:pPr>
                  <w:r>
                    <w:rPr>
                      <w:rFonts w:hint="eastAsia"/>
                      <w:b/>
                      <w:bCs/>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47" w:type="pct"/>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both"/>
                    <w:textAlignment w:val="auto"/>
                    <w:rPr>
                      <w:rFonts w:ascii="Times New Roman" w:hAnsi="Times New Roman" w:cs="Times New Roman"/>
                      <w:b w:val="0"/>
                      <w:sz w:val="21"/>
                      <w:szCs w:val="21"/>
                    </w:rPr>
                  </w:pPr>
                  <w:r>
                    <w:rPr>
                      <w:rFonts w:ascii="Times New Roman" w:hAnsi="Times New Roman" w:cs="Times New Roman"/>
                      <w:b w:val="0"/>
                      <w:sz w:val="21"/>
                      <w:szCs w:val="21"/>
                    </w:rPr>
                    <w:t>含VOC</w:t>
                  </w:r>
                  <w:r>
                    <w:rPr>
                      <w:rFonts w:ascii="Times New Roman" w:hAnsi="Times New Roman" w:cs="Times New Roman"/>
                      <w:b w:val="0"/>
                      <w:sz w:val="21"/>
                      <w:szCs w:val="21"/>
                      <w:vertAlign w:val="subscript"/>
                    </w:rPr>
                    <w:t>S</w:t>
                  </w:r>
                  <w:r>
                    <w:rPr>
                      <w:rFonts w:ascii="Times New Roman" w:hAnsi="Times New Roman" w:cs="Times New Roman"/>
                      <w:b w:val="0"/>
                      <w:sz w:val="21"/>
                      <w:szCs w:val="21"/>
                    </w:rPr>
                    <w:t>产品的使用过程中，应采取废气收集措施，提供废气收集效率，减少废气的无组织排放与逸散，并对收集的废气进行回收或处理后达标排放</w:t>
                  </w:r>
                </w:p>
              </w:tc>
              <w:tc>
                <w:tcPr>
                  <w:tcW w:w="1741" w:type="pct"/>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both"/>
                    <w:textAlignment w:val="auto"/>
                    <w:rPr>
                      <w:rFonts w:ascii="Times New Roman" w:hAnsi="Times New Roman" w:cs="Times New Roman"/>
                      <w:b w:val="0"/>
                      <w:sz w:val="21"/>
                      <w:szCs w:val="21"/>
                    </w:rPr>
                  </w:pPr>
                  <w:r>
                    <w:rPr>
                      <w:rFonts w:ascii="Times New Roman" w:hAnsi="Times New Roman" w:cs="Times New Roman"/>
                      <w:b w:val="0"/>
                      <w:sz w:val="21"/>
                      <w:szCs w:val="21"/>
                    </w:rPr>
                    <w:t>项目产生的有机废气</w:t>
                  </w:r>
                  <w:r>
                    <w:rPr>
                      <w:rFonts w:hint="eastAsia" w:ascii="Times New Roman" w:hAnsi="Times New Roman" w:cs="Times New Roman"/>
                      <w:b w:val="0"/>
                      <w:sz w:val="21"/>
                      <w:szCs w:val="21"/>
                    </w:rPr>
                    <w:t>收集</w:t>
                  </w:r>
                  <w:r>
                    <w:rPr>
                      <w:rFonts w:ascii="Times New Roman" w:hAnsi="Times New Roman" w:cs="Times New Roman"/>
                      <w:b w:val="0"/>
                      <w:sz w:val="21"/>
                      <w:szCs w:val="21"/>
                    </w:rPr>
                    <w:t>后经</w:t>
                  </w:r>
                  <w:r>
                    <w:rPr>
                      <w:rFonts w:hint="eastAsia" w:ascii="Times New Roman" w:hAnsi="Times New Roman" w:cs="Times New Roman"/>
                      <w:b w:val="0"/>
                      <w:sz w:val="21"/>
                      <w:szCs w:val="21"/>
                    </w:rPr>
                    <w:t>二级活性炭吸附处理后</w:t>
                  </w:r>
                  <w:r>
                    <w:rPr>
                      <w:rFonts w:ascii="Times New Roman" w:hAnsi="Times New Roman" w:cs="Times New Roman"/>
                      <w:b w:val="0"/>
                      <w:sz w:val="21"/>
                      <w:szCs w:val="21"/>
                    </w:rPr>
                    <w:t>可满足达标排放的要求。</w:t>
                  </w:r>
                </w:p>
              </w:tc>
              <w:tc>
                <w:tcPr>
                  <w:tcW w:w="410" w:type="pct"/>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hint="eastAsia" w:ascii="Times New Roman" w:hAnsi="Times New Roman" w:cs="Times New Roman"/>
                      <w:b w:val="0"/>
                      <w:sz w:val="21"/>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47" w:type="pct"/>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both"/>
                    <w:textAlignment w:val="auto"/>
                    <w:rPr>
                      <w:rFonts w:ascii="Times New Roman" w:hAnsi="Times New Roman" w:cs="Times New Roman"/>
                      <w:b w:val="0"/>
                      <w:sz w:val="21"/>
                      <w:szCs w:val="21"/>
                    </w:rPr>
                  </w:pPr>
                  <w:r>
                    <w:rPr>
                      <w:rFonts w:ascii="Times New Roman" w:hAnsi="Times New Roman" w:cs="Times New Roman"/>
                      <w:b w:val="0"/>
                      <w:sz w:val="21"/>
                      <w:szCs w:val="21"/>
                    </w:rPr>
                    <w:t>对于含低浓度VOCs的废气，有回收价值时可采用吸附技术、吸收技术对有机溶剂回收后达标排放；不宜回收时，可采用吸附浓缩燃烧技术、生物技术、吸收技术、等离子体技术或紫外光高级氧化技术等净化后达标排放</w:t>
                  </w:r>
                </w:p>
              </w:tc>
              <w:tc>
                <w:tcPr>
                  <w:tcW w:w="1741" w:type="pct"/>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both"/>
                    <w:textAlignment w:val="auto"/>
                    <w:rPr>
                      <w:rFonts w:ascii="Times New Roman" w:hAnsi="Times New Roman" w:cs="Times New Roman"/>
                      <w:b w:val="0"/>
                      <w:sz w:val="21"/>
                      <w:szCs w:val="21"/>
                    </w:rPr>
                  </w:pPr>
                  <w:r>
                    <w:rPr>
                      <w:rFonts w:ascii="Times New Roman" w:hAnsi="Times New Roman" w:cs="Times New Roman"/>
                      <w:b w:val="0"/>
                      <w:sz w:val="21"/>
                      <w:szCs w:val="21"/>
                    </w:rPr>
                    <w:t>项目产生的有机废气</w:t>
                  </w:r>
                  <w:r>
                    <w:rPr>
                      <w:rFonts w:hint="eastAsia" w:ascii="Times New Roman" w:hAnsi="Times New Roman" w:cs="Times New Roman"/>
                      <w:b w:val="0"/>
                      <w:sz w:val="21"/>
                      <w:szCs w:val="21"/>
                    </w:rPr>
                    <w:t>收集</w:t>
                  </w:r>
                  <w:r>
                    <w:rPr>
                      <w:rFonts w:ascii="Times New Roman" w:hAnsi="Times New Roman" w:cs="Times New Roman"/>
                      <w:b w:val="0"/>
                      <w:sz w:val="21"/>
                      <w:szCs w:val="21"/>
                    </w:rPr>
                    <w:t>后经</w:t>
                  </w:r>
                  <w:r>
                    <w:rPr>
                      <w:rFonts w:hint="eastAsia" w:ascii="Times New Roman" w:hAnsi="Times New Roman" w:cs="Times New Roman"/>
                      <w:b w:val="0"/>
                      <w:sz w:val="21"/>
                      <w:szCs w:val="21"/>
                    </w:rPr>
                    <w:t>二级活性炭吸附处理后</w:t>
                  </w:r>
                  <w:r>
                    <w:rPr>
                      <w:rFonts w:ascii="Times New Roman" w:hAnsi="Times New Roman" w:cs="Times New Roman"/>
                      <w:b w:val="0"/>
                      <w:sz w:val="21"/>
                      <w:szCs w:val="21"/>
                    </w:rPr>
                    <w:t>可满足达标排放的要求。</w:t>
                  </w:r>
                </w:p>
              </w:tc>
              <w:tc>
                <w:tcPr>
                  <w:tcW w:w="410" w:type="pct"/>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hint="eastAsia" w:ascii="Times New Roman" w:hAnsi="Times New Roman" w:cs="Times New Roman"/>
                      <w:b w:val="0"/>
                      <w:sz w:val="21"/>
                      <w:szCs w:val="21"/>
                    </w:rPr>
                    <w:t>相符</w:t>
                  </w:r>
                </w:p>
              </w:tc>
            </w:tr>
          </w:tbl>
          <w:p>
            <w:pPr>
              <w:pStyle w:val="32"/>
              <w:keepNext w:val="0"/>
              <w:keepLines w:val="0"/>
              <w:pageBreakBefore w:val="0"/>
              <w:widowControl/>
              <w:kinsoku/>
              <w:wordWrap/>
              <w:overflowPunct/>
              <w:topLinePunct w:val="0"/>
              <w:autoSpaceDE/>
              <w:autoSpaceDN/>
              <w:bidi w:val="0"/>
              <w:adjustRightInd w:val="0"/>
              <w:snapToGrid w:val="0"/>
              <w:spacing w:after="0" w:line="500" w:lineRule="exact"/>
              <w:ind w:left="0" w:leftChars="0" w:firstLine="0" w:firstLineChars="0"/>
              <w:textAlignment w:val="auto"/>
              <w:rPr>
                <w:b/>
                <w:bCs/>
                <w:color w:val="000000"/>
                <w:szCs w:val="24"/>
              </w:rPr>
            </w:pPr>
            <w:r>
              <w:rPr>
                <w:rFonts w:hint="eastAsia"/>
                <w:b/>
                <w:bCs/>
                <w:color w:val="000000"/>
                <w:szCs w:val="24"/>
              </w:rPr>
              <w:t>9、与《江苏省挥发性有机物污染防治管理办法》相符性分析</w:t>
            </w:r>
          </w:p>
          <w:p>
            <w:pPr>
              <w:pStyle w:val="60"/>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cs="Times New Roman"/>
                <w:sz w:val="24"/>
                <w:lang w:val="en-US"/>
              </w:rPr>
            </w:pPr>
            <w:r>
              <w:rPr>
                <w:rFonts w:ascii="Times New Roman" w:hAnsi="Times New Roman" w:cs="Times New Roman"/>
                <w:sz w:val="24"/>
                <w:lang w:val="en-US"/>
              </w:rPr>
              <w:t>对照《</w:t>
            </w:r>
            <w:r>
              <w:rPr>
                <w:rFonts w:hint="eastAsia" w:ascii="Times New Roman" w:hAnsi="Times New Roman" w:cs="Times New Roman"/>
                <w:sz w:val="24"/>
                <w:lang w:val="en-US"/>
              </w:rPr>
              <w:t>江苏省挥发性有机物污染防治管理办法</w:t>
            </w:r>
            <w:r>
              <w:rPr>
                <w:rFonts w:ascii="Times New Roman" w:hAnsi="Times New Roman" w:cs="Times New Roman"/>
                <w:sz w:val="24"/>
                <w:lang w:val="en-US"/>
              </w:rPr>
              <w:t>》，对涉及的内容进行对照分析，详见表1-</w:t>
            </w:r>
            <w:r>
              <w:rPr>
                <w:rFonts w:hint="eastAsia" w:ascii="Times New Roman" w:hAnsi="Times New Roman" w:cs="Times New Roman"/>
                <w:sz w:val="24"/>
                <w:lang w:val="en-US"/>
              </w:rPr>
              <w:t>9。</w:t>
            </w:r>
          </w:p>
          <w:p>
            <w:pPr>
              <w:pStyle w:val="32"/>
              <w:keepNext w:val="0"/>
              <w:keepLines w:val="0"/>
              <w:pageBreakBefore w:val="0"/>
              <w:widowControl/>
              <w:kinsoku/>
              <w:wordWrap/>
              <w:overflowPunct/>
              <w:topLinePunct w:val="0"/>
              <w:autoSpaceDE/>
              <w:autoSpaceDN/>
              <w:bidi w:val="0"/>
              <w:adjustRightInd w:val="0"/>
              <w:snapToGrid w:val="0"/>
              <w:spacing w:before="157" w:beforeLines="50" w:after="157" w:afterLines="50"/>
              <w:ind w:left="0" w:leftChars="0" w:firstLine="0" w:firstLineChars="0"/>
              <w:jc w:val="center"/>
              <w:textAlignment w:val="auto"/>
              <w:rPr>
                <w:b/>
                <w:bCs/>
                <w:sz w:val="21"/>
                <w:szCs w:val="21"/>
              </w:rPr>
            </w:pPr>
            <w:r>
              <w:rPr>
                <w:rFonts w:hint="eastAsia"/>
                <w:b/>
                <w:bCs/>
                <w:sz w:val="21"/>
                <w:szCs w:val="21"/>
              </w:rPr>
              <w:t>表1-9与《江苏省挥发性有机物污染防治管理办法》相符性分析</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469"/>
              <w:gridCol w:w="2733"/>
              <w:gridCol w:w="6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47"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
                      <w:bCs/>
                      <w:color w:val="000000"/>
                      <w:kern w:val="0"/>
                      <w:szCs w:val="21"/>
                    </w:rPr>
                  </w:pPr>
                  <w:r>
                    <w:rPr>
                      <w:b/>
                      <w:bCs/>
                      <w:color w:val="000000"/>
                      <w:kern w:val="0"/>
                      <w:szCs w:val="21"/>
                    </w:rPr>
                    <w:t>相关内容（涉及主要内容）</w:t>
                  </w:r>
                </w:p>
              </w:tc>
              <w:tc>
                <w:tcPr>
                  <w:tcW w:w="1741"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
                      <w:bCs/>
                      <w:color w:val="000000"/>
                      <w:kern w:val="0"/>
                      <w:szCs w:val="21"/>
                    </w:rPr>
                  </w:pPr>
                  <w:r>
                    <w:rPr>
                      <w:rFonts w:hint="eastAsia"/>
                      <w:b/>
                      <w:bCs/>
                      <w:color w:val="000000"/>
                      <w:kern w:val="0"/>
                      <w:szCs w:val="21"/>
                    </w:rPr>
                    <w:t>相符</w:t>
                  </w:r>
                  <w:r>
                    <w:rPr>
                      <w:b/>
                      <w:bCs/>
                      <w:color w:val="000000"/>
                      <w:kern w:val="0"/>
                      <w:szCs w:val="21"/>
                    </w:rPr>
                    <w:t>性分析</w:t>
                  </w:r>
                </w:p>
              </w:tc>
              <w:tc>
                <w:tcPr>
                  <w:tcW w:w="410"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
                      <w:bCs/>
                      <w:color w:val="000000"/>
                      <w:kern w:val="0"/>
                      <w:szCs w:val="21"/>
                    </w:rPr>
                  </w:pPr>
                  <w:r>
                    <w:rPr>
                      <w:rFonts w:hint="eastAsia"/>
                      <w:b/>
                      <w:bCs/>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47" w:type="pct"/>
                  <w:tcBorders>
                    <w:tl2br w:val="nil"/>
                    <w:tr2bl w:val="nil"/>
                  </w:tcBorders>
                  <w:vAlign w:val="center"/>
                </w:tcPr>
                <w:p>
                  <w:pPr>
                    <w:keepNext w:val="0"/>
                    <w:keepLines w:val="0"/>
                    <w:pageBreakBefore w:val="0"/>
                    <w:kinsoku/>
                    <w:wordWrap/>
                    <w:overflowPunct/>
                    <w:topLinePunct w:val="0"/>
                    <w:autoSpaceDE/>
                    <w:autoSpaceDN/>
                    <w:bidi w:val="0"/>
                    <w:adjustRightInd w:val="0"/>
                    <w:jc w:val="center"/>
                    <w:textAlignment w:val="auto"/>
                    <w:rPr>
                      <w:bCs/>
                      <w:szCs w:val="21"/>
                    </w:rPr>
                  </w:pPr>
                  <w:r>
                    <w:rPr>
                      <w:bCs/>
                      <w:szCs w:val="21"/>
                    </w:rPr>
                    <w:t>新建、改建、扩建挥发性有机物的建设项目，应当依法进行环境影响评价。新增有机物排放总量指标不足部分，可以依照有关规定通过排污权交易取得。建设项目的环境影响评价文件未经审查或者审查后未予批准，建设单位不得开工建设</w:t>
                  </w:r>
                </w:p>
              </w:tc>
              <w:tc>
                <w:tcPr>
                  <w:tcW w:w="1741" w:type="pct"/>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Cs/>
                      <w:sz w:val="21"/>
                      <w:szCs w:val="21"/>
                    </w:rPr>
                  </w:pPr>
                  <w:r>
                    <w:rPr>
                      <w:rFonts w:hint="eastAsia" w:ascii="Times New Roman" w:hAnsi="Times New Roman" w:cs="Times New Roman"/>
                      <w:b w:val="0"/>
                      <w:color w:val="0000FF"/>
                      <w:sz w:val="21"/>
                      <w:szCs w:val="21"/>
                      <w:lang w:val="en-US" w:eastAsia="zh-CN"/>
                    </w:rPr>
                    <w:t>本</w:t>
                  </w:r>
                  <w:r>
                    <w:rPr>
                      <w:rFonts w:ascii="Times New Roman" w:hAnsi="Times New Roman" w:cs="Times New Roman"/>
                      <w:b w:val="0"/>
                      <w:sz w:val="21"/>
                      <w:szCs w:val="21"/>
                    </w:rPr>
                    <w:t>项目挥发性有机物排放总量指标，依照有关规定申请总量平衡方案。</w:t>
                  </w:r>
                </w:p>
              </w:tc>
              <w:tc>
                <w:tcPr>
                  <w:tcW w:w="410" w:type="pct"/>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hint="eastAsia" w:ascii="Times New Roman" w:hAnsi="Times New Roman" w:cs="Times New Roman"/>
                      <w:b w:val="0"/>
                      <w:sz w:val="21"/>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47" w:type="pct"/>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bCs/>
                      <w:color w:val="000000"/>
                      <w:szCs w:val="21"/>
                    </w:rPr>
                  </w:pPr>
                  <w:r>
                    <w:rPr>
                      <w:bCs/>
                      <w:szCs w:val="21"/>
                    </w:rPr>
                    <w:t>排放挥发性有机物的生产经营者应当履行防治挥发性有机物污染的义务，根据国家和省相关标准以及防治技术指南，采用挥发性有机物污染控制技术，规范操作规程，组织生产经营管理，确保挥发性有机物的排放符合相应的排放标准。</w:t>
                  </w:r>
                </w:p>
              </w:tc>
              <w:tc>
                <w:tcPr>
                  <w:tcW w:w="1741"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Cs/>
                      <w:color w:val="000000"/>
                      <w:kern w:val="0"/>
                      <w:szCs w:val="21"/>
                    </w:rPr>
                  </w:pPr>
                  <w:r>
                    <w:rPr>
                      <w:color w:val="000000"/>
                      <w:kern w:val="0"/>
                      <w:szCs w:val="21"/>
                    </w:rPr>
                    <w:t>本项目根据国家和省相关标准以及防治技术指南，产生的有机废气</w:t>
                  </w:r>
                  <w:r>
                    <w:rPr>
                      <w:rFonts w:hint="eastAsia"/>
                      <w:szCs w:val="21"/>
                    </w:rPr>
                    <w:t>收集</w:t>
                  </w:r>
                  <w:r>
                    <w:rPr>
                      <w:szCs w:val="21"/>
                    </w:rPr>
                    <w:t>经</w:t>
                  </w:r>
                  <w:r>
                    <w:rPr>
                      <w:rFonts w:hint="eastAsia"/>
                      <w:szCs w:val="21"/>
                    </w:rPr>
                    <w:t>二级活性炭吸附处理后高空排放</w:t>
                  </w:r>
                  <w:r>
                    <w:rPr>
                      <w:color w:val="000000"/>
                      <w:kern w:val="0"/>
                      <w:szCs w:val="21"/>
                    </w:rPr>
                    <w:t>，能确保挥发性有机物达标排放。</w:t>
                  </w:r>
                </w:p>
              </w:tc>
              <w:tc>
                <w:tcPr>
                  <w:tcW w:w="410"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color w:val="000000"/>
                      <w:kern w:val="0"/>
                      <w:szCs w:val="21"/>
                    </w:rPr>
                  </w:pPr>
                  <w:r>
                    <w:rPr>
                      <w:rFonts w:hint="eastAsia"/>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47" w:type="pct"/>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bCs/>
                      <w:szCs w:val="21"/>
                    </w:rPr>
                  </w:pPr>
                  <w:r>
                    <w:rPr>
                      <w:bCs/>
                      <w:szCs w:val="21"/>
                    </w:rPr>
                    <w:t>挥发性有机物排放单位应当按照有关规定和监测规范自行或者委托有关监测机构对其排放的挥发性有机物进行监测，记录、保存监测数据，并按照规定向社会公开。监测数据应当真实、可靠</w:t>
                  </w:r>
                  <w:r>
                    <w:rPr>
                      <w:rFonts w:hint="eastAsia"/>
                      <w:bCs/>
                      <w:szCs w:val="21"/>
                    </w:rPr>
                    <w:t>，</w:t>
                  </w:r>
                  <w:r>
                    <w:rPr>
                      <w:bCs/>
                      <w:szCs w:val="21"/>
                    </w:rPr>
                    <w:t>保存时间不得少于3年。</w:t>
                  </w:r>
                </w:p>
              </w:tc>
              <w:tc>
                <w:tcPr>
                  <w:tcW w:w="1741"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color w:val="000000"/>
                      <w:kern w:val="0"/>
                      <w:szCs w:val="21"/>
                    </w:rPr>
                  </w:pPr>
                  <w:r>
                    <w:rPr>
                      <w:color w:val="000000"/>
                      <w:kern w:val="0"/>
                      <w:szCs w:val="21"/>
                    </w:rPr>
                    <w:t>项目制定了运营期环境监测，投入生产后将委托第三方监测机构进行例行监测，并按照规定向社会公开。</w:t>
                  </w:r>
                </w:p>
              </w:tc>
              <w:tc>
                <w:tcPr>
                  <w:tcW w:w="410" w:type="pct"/>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rFonts w:hint="eastAsia"/>
                      <w:color w:val="00000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47" w:type="pct"/>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bCs/>
                      <w:szCs w:val="21"/>
                    </w:rPr>
                  </w:pPr>
                  <w:r>
                    <w:rPr>
                      <w:bCs/>
                      <w:szCs w:val="21"/>
                    </w:rPr>
                    <w:t>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无法在密闭空间进行的生产经营活动应当采取有效措施，减少挥发性有机物排放量。</w:t>
                  </w:r>
                </w:p>
              </w:tc>
              <w:tc>
                <w:tcPr>
                  <w:tcW w:w="1741"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color w:val="000000"/>
                      <w:kern w:val="0"/>
                      <w:szCs w:val="21"/>
                    </w:rPr>
                  </w:pPr>
                  <w:r>
                    <w:rPr>
                      <w:color w:val="000000"/>
                      <w:kern w:val="0"/>
                      <w:szCs w:val="21"/>
                    </w:rPr>
                    <w:t>项目产生的有机废气</w:t>
                  </w:r>
                  <w:r>
                    <w:rPr>
                      <w:rFonts w:hint="eastAsia"/>
                      <w:szCs w:val="21"/>
                    </w:rPr>
                    <w:t>收集</w:t>
                  </w:r>
                  <w:r>
                    <w:rPr>
                      <w:rFonts w:hint="eastAsia"/>
                      <w:color w:val="0000FF"/>
                      <w:szCs w:val="21"/>
                      <w:lang w:val="en-US" w:eastAsia="zh-CN"/>
                    </w:rPr>
                    <w:t>后</w:t>
                  </w:r>
                  <w:r>
                    <w:rPr>
                      <w:szCs w:val="21"/>
                    </w:rPr>
                    <w:t>经</w:t>
                  </w:r>
                  <w:r>
                    <w:rPr>
                      <w:rFonts w:hint="eastAsia"/>
                      <w:szCs w:val="21"/>
                    </w:rPr>
                    <w:t>二级活性炭吸附</w:t>
                  </w:r>
                  <w:r>
                    <w:rPr>
                      <w:rFonts w:hint="eastAsia"/>
                      <w:color w:val="0000FF"/>
                      <w:szCs w:val="21"/>
                      <w:lang w:val="en-US" w:eastAsia="zh-CN"/>
                    </w:rPr>
                    <w:t>装置</w:t>
                  </w:r>
                  <w:r>
                    <w:rPr>
                      <w:rFonts w:hint="eastAsia"/>
                      <w:szCs w:val="21"/>
                    </w:rPr>
                    <w:t>处理后</w:t>
                  </w:r>
                  <w:r>
                    <w:rPr>
                      <w:rFonts w:hint="eastAsia"/>
                      <w:color w:val="0000FF"/>
                      <w:szCs w:val="21"/>
                      <w:lang w:val="en-US"/>
                    </w:rPr>
                    <w:t>通过15m高排气筒排放</w:t>
                  </w:r>
                  <w:r>
                    <w:rPr>
                      <w:rFonts w:hint="eastAsia"/>
                      <w:szCs w:val="21"/>
                    </w:rPr>
                    <w:t>。</w:t>
                  </w:r>
                </w:p>
              </w:tc>
              <w:tc>
                <w:tcPr>
                  <w:tcW w:w="410" w:type="pct"/>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szCs w:val="21"/>
                    </w:rPr>
                  </w:pPr>
                  <w:r>
                    <w:rPr>
                      <w:rFonts w:hint="eastAsia"/>
                      <w:color w:val="000000"/>
                      <w:szCs w:val="21"/>
                    </w:rPr>
                    <w:t>相符</w:t>
                  </w:r>
                </w:p>
              </w:tc>
            </w:tr>
          </w:tbl>
          <w:p>
            <w:pPr>
              <w:pStyle w:val="32"/>
              <w:keepNext w:val="0"/>
              <w:keepLines w:val="0"/>
              <w:pageBreakBefore w:val="0"/>
              <w:widowControl/>
              <w:kinsoku/>
              <w:wordWrap/>
              <w:overflowPunct/>
              <w:topLinePunct w:val="0"/>
              <w:autoSpaceDE/>
              <w:autoSpaceDN/>
              <w:bidi w:val="0"/>
              <w:adjustRightInd w:val="0"/>
              <w:snapToGrid w:val="0"/>
              <w:spacing w:after="0" w:line="500" w:lineRule="exact"/>
              <w:ind w:left="0" w:leftChars="0" w:firstLine="0" w:firstLineChars="0"/>
              <w:textAlignment w:val="auto"/>
              <w:rPr>
                <w:b/>
                <w:bCs/>
                <w:color w:val="000000"/>
                <w:szCs w:val="24"/>
              </w:rPr>
            </w:pPr>
            <w:r>
              <w:rPr>
                <w:rFonts w:hint="eastAsia"/>
                <w:b/>
                <w:bCs/>
                <w:color w:val="000000"/>
                <w:szCs w:val="24"/>
              </w:rPr>
              <w:t>10、与《江苏省重点行业挥发性有机物污染整治方案》相符性分析</w:t>
            </w:r>
          </w:p>
          <w:p>
            <w:pPr>
              <w:pStyle w:val="60"/>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cs="Times New Roman"/>
                <w:sz w:val="24"/>
                <w:lang w:val="en-US"/>
              </w:rPr>
            </w:pPr>
            <w:r>
              <w:rPr>
                <w:rFonts w:hint="eastAsia" w:ascii="Times New Roman" w:hAnsi="Times New Roman" w:cs="Times New Roman"/>
                <w:sz w:val="24"/>
                <w:lang w:val="en-US"/>
              </w:rPr>
              <w:t>对照《江苏省重点行业挥发性有机物污染整治方案》，对涉及的内容进行对照分析，详见表1-10。</w:t>
            </w:r>
          </w:p>
          <w:p>
            <w:pPr>
              <w:pStyle w:val="32"/>
              <w:keepNext w:val="0"/>
              <w:keepLines w:val="0"/>
              <w:pageBreakBefore w:val="0"/>
              <w:widowControl/>
              <w:kinsoku/>
              <w:wordWrap/>
              <w:overflowPunct/>
              <w:topLinePunct w:val="0"/>
              <w:autoSpaceDE/>
              <w:autoSpaceDN/>
              <w:bidi w:val="0"/>
              <w:adjustRightInd w:val="0"/>
              <w:snapToGrid w:val="0"/>
              <w:spacing w:before="157" w:beforeLines="50" w:after="157" w:afterLines="50"/>
              <w:ind w:left="0" w:leftChars="0" w:firstLine="0" w:firstLineChars="0"/>
              <w:jc w:val="center"/>
              <w:textAlignment w:val="auto"/>
              <w:rPr>
                <w:b/>
                <w:bCs/>
                <w:sz w:val="21"/>
                <w:szCs w:val="21"/>
              </w:rPr>
            </w:pPr>
            <w:r>
              <w:rPr>
                <w:rFonts w:hint="eastAsia"/>
                <w:b/>
                <w:bCs/>
                <w:sz w:val="21"/>
                <w:szCs w:val="21"/>
              </w:rPr>
              <w:t>表1-10与《江苏省重点行业挥发性有机物污染整治方案》相符性分析</w:t>
            </w:r>
          </w:p>
          <w:tbl>
            <w:tblPr>
              <w:tblStyle w:val="33"/>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469"/>
              <w:gridCol w:w="2733"/>
              <w:gridCol w:w="6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847"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
                      <w:bCs/>
                      <w:color w:val="000000"/>
                      <w:kern w:val="0"/>
                      <w:szCs w:val="21"/>
                    </w:rPr>
                  </w:pPr>
                  <w:r>
                    <w:rPr>
                      <w:b/>
                      <w:bCs/>
                      <w:color w:val="000000"/>
                      <w:kern w:val="0"/>
                      <w:szCs w:val="21"/>
                    </w:rPr>
                    <w:t>相关内容（涉及主要内容）</w:t>
                  </w:r>
                </w:p>
              </w:tc>
              <w:tc>
                <w:tcPr>
                  <w:tcW w:w="1741"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
                      <w:bCs/>
                      <w:color w:val="000000"/>
                      <w:kern w:val="0"/>
                      <w:szCs w:val="21"/>
                    </w:rPr>
                  </w:pPr>
                  <w:r>
                    <w:rPr>
                      <w:rFonts w:hint="eastAsia"/>
                      <w:b/>
                      <w:bCs/>
                      <w:color w:val="000000"/>
                      <w:kern w:val="0"/>
                      <w:szCs w:val="21"/>
                    </w:rPr>
                    <w:t>相符</w:t>
                  </w:r>
                  <w:r>
                    <w:rPr>
                      <w:b/>
                      <w:bCs/>
                      <w:color w:val="000000"/>
                      <w:kern w:val="0"/>
                      <w:szCs w:val="21"/>
                    </w:rPr>
                    <w:t>性分析</w:t>
                  </w:r>
                </w:p>
              </w:tc>
              <w:tc>
                <w:tcPr>
                  <w:tcW w:w="410"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
                      <w:bCs/>
                      <w:color w:val="000000"/>
                      <w:kern w:val="0"/>
                      <w:szCs w:val="21"/>
                    </w:rPr>
                  </w:pPr>
                  <w:r>
                    <w:rPr>
                      <w:rFonts w:hint="eastAsia"/>
                      <w:b/>
                      <w:bCs/>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847" w:type="pct"/>
                  <w:tcBorders>
                    <w:tl2br w:val="nil"/>
                    <w:tr2bl w:val="nil"/>
                  </w:tcBorders>
                  <w:vAlign w:val="center"/>
                </w:tcPr>
                <w:p>
                  <w:pPr>
                    <w:keepNext w:val="0"/>
                    <w:keepLines w:val="0"/>
                    <w:pageBreakBefore w:val="0"/>
                    <w:kinsoku/>
                    <w:wordWrap/>
                    <w:overflowPunct/>
                    <w:topLinePunct w:val="0"/>
                    <w:autoSpaceDE/>
                    <w:autoSpaceDN/>
                    <w:bidi w:val="0"/>
                    <w:adjustRightInd w:val="0"/>
                    <w:jc w:val="center"/>
                    <w:textAlignment w:val="auto"/>
                    <w:rPr>
                      <w:bCs/>
                      <w:szCs w:val="21"/>
                    </w:rPr>
                  </w:pPr>
                  <w:r>
                    <w:rPr>
                      <w:bCs/>
                      <w:szCs w:val="21"/>
                    </w:rPr>
                    <w:t>（二）严格环境准入，有效控制VOCs的新增排放量新、改、扩建VOCs排放项目在设计和建设中应使用低毒、低臭、低挥发性的原辅料、选用先进的清洁生产和密闭化工艺，实现设备、装置、管线、采样等密闭化，从源头减少VOCs泄漏环节。</w:t>
                  </w:r>
                </w:p>
              </w:tc>
              <w:tc>
                <w:tcPr>
                  <w:tcW w:w="1741" w:type="pct"/>
                  <w:tcBorders>
                    <w:tl2br w:val="nil"/>
                    <w:tr2bl w:val="nil"/>
                  </w:tcBorders>
                  <w:vAlign w:val="center"/>
                </w:tcPr>
                <w:p>
                  <w:pPr>
                    <w:keepNext w:val="0"/>
                    <w:keepLines w:val="0"/>
                    <w:pageBreakBefore w:val="0"/>
                    <w:kinsoku/>
                    <w:wordWrap/>
                    <w:overflowPunct/>
                    <w:topLinePunct w:val="0"/>
                    <w:autoSpaceDE/>
                    <w:autoSpaceDN/>
                    <w:bidi w:val="0"/>
                    <w:adjustRightInd w:val="0"/>
                    <w:jc w:val="center"/>
                    <w:textAlignment w:val="auto"/>
                    <w:rPr>
                      <w:bCs/>
                      <w:szCs w:val="21"/>
                    </w:rPr>
                  </w:pPr>
                  <w:r>
                    <w:rPr>
                      <w:color w:val="000000"/>
                      <w:kern w:val="0"/>
                      <w:szCs w:val="21"/>
                    </w:rPr>
                    <w:t>项目产生的有机废气</w:t>
                  </w:r>
                  <w:r>
                    <w:rPr>
                      <w:rFonts w:hint="eastAsia"/>
                      <w:szCs w:val="21"/>
                    </w:rPr>
                    <w:t>收集</w:t>
                  </w:r>
                  <w:r>
                    <w:rPr>
                      <w:rFonts w:hint="eastAsia"/>
                      <w:color w:val="0000FF"/>
                      <w:szCs w:val="21"/>
                      <w:lang w:val="en-US" w:eastAsia="zh-CN"/>
                    </w:rPr>
                    <w:t>后</w:t>
                  </w:r>
                  <w:r>
                    <w:rPr>
                      <w:szCs w:val="21"/>
                    </w:rPr>
                    <w:t>经</w:t>
                  </w:r>
                  <w:r>
                    <w:rPr>
                      <w:rFonts w:hint="eastAsia"/>
                      <w:szCs w:val="21"/>
                    </w:rPr>
                    <w:t>二级活性炭吸附</w:t>
                  </w:r>
                  <w:r>
                    <w:rPr>
                      <w:rFonts w:hint="eastAsia"/>
                      <w:color w:val="0000FF"/>
                      <w:szCs w:val="21"/>
                      <w:lang w:val="en-US" w:eastAsia="zh-CN"/>
                    </w:rPr>
                    <w:t>装置</w:t>
                  </w:r>
                  <w:r>
                    <w:rPr>
                      <w:rFonts w:hint="eastAsia"/>
                      <w:szCs w:val="21"/>
                    </w:rPr>
                    <w:t>处理后</w:t>
                  </w:r>
                  <w:r>
                    <w:rPr>
                      <w:rFonts w:hint="eastAsia"/>
                      <w:color w:val="0000FF"/>
                      <w:szCs w:val="21"/>
                      <w:lang w:val="en-US"/>
                    </w:rPr>
                    <w:t>通过15m高排气筒排放</w:t>
                  </w:r>
                  <w:r>
                    <w:rPr>
                      <w:bCs/>
                      <w:szCs w:val="21"/>
                    </w:rPr>
                    <w:t>。</w:t>
                  </w:r>
                </w:p>
              </w:tc>
              <w:tc>
                <w:tcPr>
                  <w:tcW w:w="410" w:type="pct"/>
                  <w:tcBorders>
                    <w:tl2br w:val="nil"/>
                    <w:tr2bl w:val="nil"/>
                  </w:tcBorders>
                  <w:vAlign w:val="center"/>
                </w:tcPr>
                <w:p>
                  <w:pPr>
                    <w:keepNext w:val="0"/>
                    <w:keepLines w:val="0"/>
                    <w:pageBreakBefore w:val="0"/>
                    <w:kinsoku/>
                    <w:wordWrap/>
                    <w:overflowPunct/>
                    <w:topLinePunct w:val="0"/>
                    <w:autoSpaceDE/>
                    <w:autoSpaceDN/>
                    <w:bidi w:val="0"/>
                    <w:adjustRightInd w:val="0"/>
                    <w:jc w:val="center"/>
                    <w:textAlignment w:val="auto"/>
                    <w:rPr>
                      <w:bCs/>
                      <w:szCs w:val="21"/>
                    </w:rPr>
                  </w:pPr>
                  <w:r>
                    <w:rPr>
                      <w:rFonts w:hint="eastAsia"/>
                      <w:bCs/>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847" w:type="pct"/>
                  <w:tcBorders>
                    <w:tl2br w:val="nil"/>
                    <w:tr2bl w:val="nil"/>
                  </w:tcBorders>
                  <w:vAlign w:val="center"/>
                </w:tcPr>
                <w:p>
                  <w:pPr>
                    <w:keepNext w:val="0"/>
                    <w:keepLines w:val="0"/>
                    <w:pageBreakBefore w:val="0"/>
                    <w:kinsoku/>
                    <w:wordWrap/>
                    <w:overflowPunct/>
                    <w:topLinePunct w:val="0"/>
                    <w:autoSpaceDE/>
                    <w:autoSpaceDN/>
                    <w:bidi w:val="0"/>
                    <w:adjustRightInd w:val="0"/>
                    <w:snapToGrid w:val="0"/>
                    <w:jc w:val="center"/>
                    <w:textAlignment w:val="auto"/>
                    <w:rPr>
                      <w:bCs/>
                      <w:color w:val="000000"/>
                      <w:szCs w:val="21"/>
                    </w:rPr>
                  </w:pPr>
                  <w:r>
                    <w:rPr>
                      <w:bCs/>
                      <w:szCs w:val="21"/>
                    </w:rPr>
                    <w:t>（三）大力推进清洁生产，强化VOCs源头削减大力推进清洁生产，强化对化工、表面涂装、包装印刷等重点行业的强制性清洁生产审核，坚决淘汰落后和国家及地方明令禁止的工艺和设备，使用低毒、低臭、低挥发性的物料代替高毒、高臭、易挥发性物料，优先采用连续化、自动化、密闭化生产工艺替代间歇式、敞开式生产工艺。</w:t>
                  </w:r>
                </w:p>
              </w:tc>
              <w:tc>
                <w:tcPr>
                  <w:tcW w:w="1741"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Cs/>
                      <w:color w:val="000000"/>
                      <w:kern w:val="0"/>
                      <w:szCs w:val="21"/>
                    </w:rPr>
                  </w:pPr>
                  <w:r>
                    <w:rPr>
                      <w:color w:val="000000"/>
                      <w:kern w:val="0"/>
                      <w:szCs w:val="21"/>
                    </w:rPr>
                    <w:t>本项目生产中不</w:t>
                  </w:r>
                  <w:r>
                    <w:rPr>
                      <w:rFonts w:hint="eastAsia"/>
                      <w:color w:val="0000FF"/>
                      <w:kern w:val="0"/>
                      <w:szCs w:val="21"/>
                      <w:lang w:val="en-US" w:eastAsia="zh-CN"/>
                    </w:rPr>
                    <w:t>使用</w:t>
                  </w:r>
                  <w:r>
                    <w:rPr>
                      <w:color w:val="000000"/>
                      <w:kern w:val="0"/>
                      <w:szCs w:val="21"/>
                    </w:rPr>
                    <w:t>落后和国家及地方明令禁止的工艺和设备。</w:t>
                  </w:r>
                </w:p>
              </w:tc>
              <w:tc>
                <w:tcPr>
                  <w:tcW w:w="410"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color w:val="000000"/>
                      <w:kern w:val="0"/>
                      <w:szCs w:val="21"/>
                    </w:rPr>
                  </w:pPr>
                  <w:r>
                    <w:rPr>
                      <w:rFonts w:hint="eastAsia"/>
                      <w:color w:val="000000"/>
                      <w:kern w:val="0"/>
                      <w:szCs w:val="21"/>
                    </w:rPr>
                    <w:t>相符</w:t>
                  </w:r>
                </w:p>
              </w:tc>
            </w:tr>
          </w:tbl>
          <w:p>
            <w:pPr>
              <w:pStyle w:val="32"/>
              <w:keepNext w:val="0"/>
              <w:keepLines w:val="0"/>
              <w:pageBreakBefore w:val="0"/>
              <w:widowControl/>
              <w:kinsoku/>
              <w:wordWrap/>
              <w:overflowPunct/>
              <w:topLinePunct w:val="0"/>
              <w:autoSpaceDE/>
              <w:autoSpaceDN/>
              <w:bidi w:val="0"/>
              <w:adjustRightInd w:val="0"/>
              <w:snapToGrid w:val="0"/>
              <w:spacing w:after="0" w:line="500" w:lineRule="exact"/>
              <w:ind w:left="0" w:leftChars="0" w:firstLine="0" w:firstLineChars="0"/>
              <w:textAlignment w:val="auto"/>
              <w:rPr>
                <w:b/>
                <w:bCs/>
                <w:color w:val="000000"/>
                <w:szCs w:val="24"/>
              </w:rPr>
            </w:pPr>
            <w:r>
              <w:rPr>
                <w:rFonts w:hint="eastAsia"/>
                <w:b/>
                <w:bCs/>
                <w:color w:val="000000"/>
                <w:szCs w:val="24"/>
              </w:rPr>
              <w:t>11、与《重点行业挥发性有机物综合治理方案》相符性分析</w:t>
            </w:r>
          </w:p>
          <w:p>
            <w:pPr>
              <w:pStyle w:val="60"/>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cs="Times New Roman"/>
                <w:sz w:val="24"/>
                <w:lang w:val="en-US"/>
              </w:rPr>
            </w:pPr>
            <w:r>
              <w:rPr>
                <w:rFonts w:hint="eastAsia" w:ascii="Times New Roman" w:hAnsi="Times New Roman" w:cs="Times New Roman"/>
                <w:sz w:val="24"/>
                <w:lang w:val="en-US"/>
              </w:rPr>
              <w:t>对照《重点行业挥发性有机物综合治理方案》，对涉及的内容进行对照分析，详见表1-11。</w:t>
            </w:r>
          </w:p>
          <w:p>
            <w:pPr>
              <w:pStyle w:val="32"/>
              <w:keepNext w:val="0"/>
              <w:keepLines w:val="0"/>
              <w:pageBreakBefore w:val="0"/>
              <w:widowControl/>
              <w:kinsoku/>
              <w:wordWrap/>
              <w:overflowPunct/>
              <w:topLinePunct w:val="0"/>
              <w:autoSpaceDE/>
              <w:autoSpaceDN/>
              <w:bidi w:val="0"/>
              <w:adjustRightInd w:val="0"/>
              <w:snapToGrid w:val="0"/>
              <w:spacing w:before="157" w:beforeLines="50" w:after="157" w:afterLines="50"/>
              <w:ind w:left="0" w:leftChars="0" w:firstLine="0" w:firstLineChars="0"/>
              <w:jc w:val="center"/>
              <w:textAlignment w:val="auto"/>
              <w:rPr>
                <w:b/>
                <w:bCs/>
                <w:sz w:val="21"/>
                <w:szCs w:val="21"/>
              </w:rPr>
            </w:pPr>
            <w:r>
              <w:rPr>
                <w:rFonts w:hint="eastAsia"/>
                <w:b/>
                <w:bCs/>
                <w:sz w:val="21"/>
                <w:szCs w:val="21"/>
              </w:rPr>
              <w:t>表1-11与《重点行业挥发性有机物综合治理方案》相符性分析</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469"/>
              <w:gridCol w:w="2733"/>
              <w:gridCol w:w="6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47"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
                      <w:bCs/>
                      <w:color w:val="000000"/>
                      <w:kern w:val="0"/>
                      <w:szCs w:val="21"/>
                    </w:rPr>
                  </w:pPr>
                  <w:r>
                    <w:rPr>
                      <w:b/>
                      <w:bCs/>
                      <w:color w:val="000000"/>
                      <w:kern w:val="0"/>
                      <w:szCs w:val="21"/>
                    </w:rPr>
                    <w:t>相关内容（涉及主要内容）</w:t>
                  </w:r>
                </w:p>
              </w:tc>
              <w:tc>
                <w:tcPr>
                  <w:tcW w:w="1741"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
                      <w:bCs/>
                      <w:color w:val="000000"/>
                      <w:kern w:val="0"/>
                      <w:szCs w:val="21"/>
                    </w:rPr>
                  </w:pPr>
                  <w:r>
                    <w:rPr>
                      <w:rFonts w:hint="eastAsia"/>
                      <w:b/>
                      <w:bCs/>
                      <w:color w:val="000000"/>
                      <w:kern w:val="0"/>
                      <w:szCs w:val="21"/>
                    </w:rPr>
                    <w:t>相符</w:t>
                  </w:r>
                  <w:r>
                    <w:rPr>
                      <w:b/>
                      <w:bCs/>
                      <w:color w:val="000000"/>
                      <w:kern w:val="0"/>
                      <w:szCs w:val="21"/>
                    </w:rPr>
                    <w:t>性分析</w:t>
                  </w:r>
                </w:p>
              </w:tc>
              <w:tc>
                <w:tcPr>
                  <w:tcW w:w="410" w:type="pct"/>
                  <w:tcBorders>
                    <w:tl2br w:val="nil"/>
                    <w:tr2bl w:val="nil"/>
                  </w:tcBorders>
                  <w:vAlign w:val="center"/>
                </w:tcPr>
                <w:p>
                  <w:pPr>
                    <w:pStyle w:val="92"/>
                    <w:keepNext w:val="0"/>
                    <w:keepLines w:val="0"/>
                    <w:pageBreakBefore w:val="0"/>
                    <w:kinsoku/>
                    <w:wordWrap/>
                    <w:overflowPunct/>
                    <w:topLinePunct w:val="0"/>
                    <w:autoSpaceDE/>
                    <w:autoSpaceDN/>
                    <w:bidi w:val="0"/>
                    <w:adjustRightInd w:val="0"/>
                    <w:snapToGrid w:val="0"/>
                    <w:spacing w:line="240" w:lineRule="auto"/>
                    <w:ind w:firstLine="0"/>
                    <w:jc w:val="center"/>
                    <w:textAlignment w:val="auto"/>
                    <w:rPr>
                      <w:b/>
                      <w:bCs/>
                      <w:color w:val="000000"/>
                      <w:kern w:val="0"/>
                      <w:szCs w:val="21"/>
                    </w:rPr>
                  </w:pPr>
                  <w:r>
                    <w:rPr>
                      <w:rFonts w:hint="eastAsia"/>
                      <w:b/>
                      <w:bCs/>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47" w:type="pct"/>
                  <w:tcBorders>
                    <w:tl2br w:val="nil"/>
                    <w:tr2bl w:val="nil"/>
                  </w:tcBorders>
                  <w:vAlign w:val="center"/>
                </w:tcPr>
                <w:p>
                  <w:pPr>
                    <w:keepNext w:val="0"/>
                    <w:keepLines w:val="0"/>
                    <w:pageBreakBefore w:val="0"/>
                    <w:kinsoku/>
                    <w:wordWrap/>
                    <w:overflowPunct/>
                    <w:topLinePunct w:val="0"/>
                    <w:autoSpaceDE/>
                    <w:autoSpaceDN/>
                    <w:bidi w:val="0"/>
                    <w:adjustRightInd w:val="0"/>
                    <w:jc w:val="center"/>
                    <w:textAlignment w:val="auto"/>
                    <w:rPr>
                      <w:bCs/>
                      <w:szCs w:val="21"/>
                    </w:rPr>
                  </w:pPr>
                  <w:r>
                    <w:rPr>
                      <w:bCs/>
                      <w:szCs w:val="21"/>
                    </w:rPr>
                    <w:t>提高废气收集率。遵循</w:t>
                  </w:r>
                  <w:r>
                    <w:rPr>
                      <w:rFonts w:hint="eastAsia"/>
                      <w:bCs/>
                      <w:szCs w:val="21"/>
                      <w:lang w:eastAsia="zh-CN"/>
                    </w:rPr>
                    <w:t>“</w:t>
                  </w:r>
                  <w:r>
                    <w:rPr>
                      <w:bCs/>
                      <w:szCs w:val="21"/>
                    </w:rPr>
                    <w:t>应收尽收、分质收集</w:t>
                  </w:r>
                  <w:r>
                    <w:rPr>
                      <w:rFonts w:hint="eastAsia"/>
                      <w:bCs/>
                      <w:szCs w:val="21"/>
                      <w:lang w:eastAsia="zh-CN"/>
                    </w:rPr>
                    <w:t>”</w:t>
                  </w:r>
                  <w:r>
                    <w:rPr>
                      <w:bCs/>
                      <w:szCs w:val="21"/>
                    </w:rPr>
                    <w:t>的原则，科学设计废气收集系统，将无组织排放转变为有组织排放进行控制。采用全密闭集气罩或密闭空间的，除行业有特殊要求外，应保持微负压状态</w:t>
                  </w:r>
                  <w:r>
                    <w:rPr>
                      <w:rFonts w:hint="eastAsia"/>
                      <w:bCs/>
                      <w:szCs w:val="21"/>
                    </w:rPr>
                    <w:t>，并根据相关规范合理设置通风量。采用局部集气罩的，距集气罩开口面最远处的VOCs无组织排放位置，控制风速应不低于0.3m/s</w:t>
                  </w:r>
                  <w:r>
                    <w:rPr>
                      <w:bCs/>
                      <w:szCs w:val="21"/>
                    </w:rPr>
                    <w:t>。</w:t>
                  </w:r>
                </w:p>
              </w:tc>
              <w:tc>
                <w:tcPr>
                  <w:tcW w:w="1741" w:type="pct"/>
                  <w:tcBorders>
                    <w:tl2br w:val="nil"/>
                    <w:tr2bl w:val="nil"/>
                  </w:tcBorders>
                  <w:vAlign w:val="center"/>
                </w:tcPr>
                <w:p>
                  <w:pPr>
                    <w:keepNext w:val="0"/>
                    <w:keepLines w:val="0"/>
                    <w:pageBreakBefore w:val="0"/>
                    <w:kinsoku/>
                    <w:wordWrap/>
                    <w:overflowPunct/>
                    <w:topLinePunct w:val="0"/>
                    <w:autoSpaceDE/>
                    <w:autoSpaceDN/>
                    <w:bidi w:val="0"/>
                    <w:adjustRightInd w:val="0"/>
                    <w:jc w:val="center"/>
                    <w:textAlignment w:val="auto"/>
                    <w:rPr>
                      <w:bCs/>
                      <w:szCs w:val="21"/>
                    </w:rPr>
                  </w:pPr>
                  <w:r>
                    <w:rPr>
                      <w:rFonts w:hint="eastAsia"/>
                      <w:bCs/>
                      <w:color w:val="0000FF"/>
                      <w:szCs w:val="21"/>
                      <w:lang w:val="en-US" w:eastAsia="zh-CN"/>
                    </w:rPr>
                    <w:t>本</w:t>
                  </w:r>
                  <w:r>
                    <w:rPr>
                      <w:bCs/>
                      <w:szCs w:val="21"/>
                    </w:rPr>
                    <w:t>项目产生的有机废气经集气罩进行收集，通过合理确定风机风量和集气罩大小，可确保风速不低于</w:t>
                  </w:r>
                  <w:r>
                    <w:rPr>
                      <w:rFonts w:hint="eastAsia"/>
                      <w:bCs/>
                      <w:szCs w:val="21"/>
                    </w:rPr>
                    <w:t>0.3m/s</w:t>
                  </w:r>
                  <w:r>
                    <w:rPr>
                      <w:bCs/>
                      <w:szCs w:val="21"/>
                    </w:rPr>
                    <w:t>。</w:t>
                  </w:r>
                </w:p>
              </w:tc>
              <w:tc>
                <w:tcPr>
                  <w:tcW w:w="410" w:type="pct"/>
                  <w:tcBorders>
                    <w:tl2br w:val="nil"/>
                    <w:tr2bl w:val="nil"/>
                  </w:tcBorders>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s="Times New Roman"/>
                      <w:b w:val="0"/>
                      <w:sz w:val="21"/>
                      <w:szCs w:val="21"/>
                    </w:rPr>
                  </w:pPr>
                  <w:r>
                    <w:rPr>
                      <w:rFonts w:hint="eastAsia" w:ascii="Times New Roman" w:hAnsi="Times New Roman" w:cs="Times New Roman"/>
                      <w:b w:val="0"/>
                      <w:sz w:val="21"/>
                      <w:szCs w:val="21"/>
                    </w:rPr>
                    <w:t>相符</w:t>
                  </w:r>
                </w:p>
              </w:tc>
            </w:tr>
          </w:tbl>
          <w:p>
            <w:pPr>
              <w:pStyle w:val="32"/>
              <w:keepNext w:val="0"/>
              <w:keepLines w:val="0"/>
              <w:pageBreakBefore w:val="0"/>
              <w:widowControl/>
              <w:kinsoku/>
              <w:wordWrap/>
              <w:overflowPunct/>
              <w:topLinePunct w:val="0"/>
              <w:autoSpaceDE/>
              <w:autoSpaceDN/>
              <w:bidi w:val="0"/>
              <w:adjustRightInd w:val="0"/>
              <w:snapToGrid w:val="0"/>
              <w:spacing w:after="0" w:line="500" w:lineRule="exact"/>
              <w:ind w:left="0" w:leftChars="0" w:firstLine="0" w:firstLineChars="0"/>
              <w:textAlignment w:val="auto"/>
              <w:rPr>
                <w:b/>
                <w:bCs/>
                <w:color w:val="000000"/>
                <w:szCs w:val="24"/>
              </w:rPr>
            </w:pPr>
            <w:r>
              <w:rPr>
                <w:rFonts w:hint="eastAsia"/>
                <w:b/>
                <w:bCs/>
                <w:color w:val="000000"/>
                <w:szCs w:val="24"/>
              </w:rPr>
              <w:t>12、与《挥发性有机物无组织排放控制标准》相符性分析</w:t>
            </w:r>
          </w:p>
          <w:p>
            <w:pPr>
              <w:pStyle w:val="32"/>
              <w:keepNext w:val="0"/>
              <w:keepLines w:val="0"/>
              <w:pageBreakBefore w:val="0"/>
              <w:widowControl/>
              <w:kinsoku/>
              <w:wordWrap/>
              <w:overflowPunct/>
              <w:topLinePunct w:val="0"/>
              <w:autoSpaceDE/>
              <w:autoSpaceDN/>
              <w:bidi w:val="0"/>
              <w:adjustRightInd w:val="0"/>
              <w:snapToGrid w:val="0"/>
              <w:spacing w:before="157" w:beforeLines="50" w:after="157" w:afterLines="50"/>
              <w:ind w:left="0" w:leftChars="0" w:firstLine="0" w:firstLineChars="0"/>
              <w:jc w:val="center"/>
              <w:textAlignment w:val="auto"/>
              <w:rPr>
                <w:rFonts w:hint="eastAsia"/>
                <w:b/>
                <w:bCs/>
                <w:sz w:val="21"/>
                <w:szCs w:val="21"/>
              </w:rPr>
            </w:pPr>
            <w:r>
              <w:rPr>
                <w:rFonts w:hint="eastAsia"/>
                <w:b/>
                <w:bCs/>
                <w:sz w:val="21"/>
                <w:szCs w:val="21"/>
              </w:rPr>
              <w:t>表1-</w:t>
            </w:r>
            <w:r>
              <w:rPr>
                <w:rFonts w:hint="eastAsia"/>
                <w:b/>
                <w:bCs/>
                <w:sz w:val="21"/>
                <w:szCs w:val="21"/>
                <w:lang w:val="en-US"/>
              </w:rPr>
              <w:t>12</w:t>
            </w:r>
            <w:r>
              <w:rPr>
                <w:rFonts w:hint="eastAsia"/>
                <w:b/>
                <w:bCs/>
                <w:sz w:val="21"/>
                <w:szCs w:val="21"/>
              </w:rPr>
              <w:t>与《挥发性有机物无组织排放控制标准》相符性分析</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2"/>
              <w:gridCol w:w="714"/>
              <w:gridCol w:w="3346"/>
              <w:gridCol w:w="1513"/>
              <w:gridCol w:w="9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内容</w:t>
                  </w:r>
                </w:p>
              </w:tc>
              <w:tc>
                <w:tcPr>
                  <w:tcW w:w="714" w:type="dxa"/>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序号</w:t>
                  </w:r>
                </w:p>
              </w:tc>
              <w:tc>
                <w:tcPr>
                  <w:tcW w:w="3346" w:type="dxa"/>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标准要求</w:t>
                  </w:r>
                </w:p>
              </w:tc>
              <w:tc>
                <w:tcPr>
                  <w:tcW w:w="1513" w:type="dxa"/>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项目情况</w:t>
                  </w:r>
                </w:p>
              </w:tc>
              <w:tc>
                <w:tcPr>
                  <w:tcW w:w="972" w:type="dxa"/>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VOCs物料储存无组织排放控制要求</w:t>
                  </w:r>
                </w:p>
              </w:tc>
              <w:tc>
                <w:tcPr>
                  <w:tcW w:w="714"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1</w:t>
                  </w:r>
                </w:p>
              </w:tc>
              <w:tc>
                <w:tcPr>
                  <w:tcW w:w="3346"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1、VOCs料应储存于密闭的容器、包装袋、储罐、储库、料仓中；</w:t>
                  </w:r>
                </w:p>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2、盛装VOCs物料的容器或包装袋应存放于室内，或存放于设置有雨棚、遮阳和防渗设施的专用场地。盛装VOCs物料的容器或包装袋在非取用状态时应加盖、封口，保持密闭；</w:t>
                  </w:r>
                </w:p>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3、VOCs物料储库、料仓应满足密闭空间的要求。</w:t>
                  </w:r>
                </w:p>
              </w:tc>
              <w:tc>
                <w:tcPr>
                  <w:tcW w:w="1513"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rFonts w:hint="eastAsia"/>
                      <w:color w:val="0000FF"/>
                      <w:szCs w:val="21"/>
                      <w:lang w:val="en-US" w:eastAsia="zh-CN"/>
                    </w:rPr>
                    <w:t>本</w:t>
                  </w:r>
                  <w:r>
                    <w:rPr>
                      <w:color w:val="000000" w:themeColor="text1"/>
                      <w:szCs w:val="21"/>
                      <w14:textFill>
                        <w14:solidFill>
                          <w14:schemeClr w14:val="tx1"/>
                        </w14:solidFill>
                      </w14:textFill>
                    </w:rPr>
                    <w:t>项目涉VOCs原料在非使用状态下将密闭于容器，料仓满足密闭空间要求</w:t>
                  </w:r>
                </w:p>
              </w:tc>
              <w:tc>
                <w:tcPr>
                  <w:tcW w:w="972"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Merge w:val="restart"/>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VOCs物料转移和输送无组织排放控制要求</w:t>
                  </w:r>
                </w:p>
              </w:tc>
              <w:tc>
                <w:tcPr>
                  <w:tcW w:w="714"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1</w:t>
                  </w:r>
                </w:p>
              </w:tc>
              <w:tc>
                <w:tcPr>
                  <w:tcW w:w="3346"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液态VOCs物料应采用密闭管道输送。采用非管道输送方式转移液态VOCs物料时，应采用密闭容器、罐车。</w:t>
                  </w:r>
                </w:p>
              </w:tc>
              <w:tc>
                <w:tcPr>
                  <w:tcW w:w="1513"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w:t>
                  </w:r>
                  <w:r>
                    <w:rPr>
                      <w:rFonts w:hint="eastAsia"/>
                      <w:color w:val="000000" w:themeColor="text1"/>
                      <w:szCs w:val="21"/>
                      <w14:textFill>
                        <w14:solidFill>
                          <w14:schemeClr w14:val="tx1"/>
                        </w14:solidFill>
                      </w14:textFill>
                    </w:rPr>
                    <w:t>所涉及液态VOCs物料采用密闭容器储存</w:t>
                  </w:r>
                </w:p>
              </w:tc>
              <w:tc>
                <w:tcPr>
                  <w:tcW w:w="972"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Merge w:val="continue"/>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kern w:val="0"/>
                      <w:szCs w:val="21"/>
                      <w14:textFill>
                        <w14:solidFill>
                          <w14:schemeClr w14:val="tx1"/>
                        </w14:solidFill>
                      </w14:textFill>
                    </w:rPr>
                  </w:pPr>
                </w:p>
              </w:tc>
              <w:tc>
                <w:tcPr>
                  <w:tcW w:w="714"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2</w:t>
                  </w:r>
                </w:p>
              </w:tc>
              <w:tc>
                <w:tcPr>
                  <w:tcW w:w="3346"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VOCs质量占比大于等于10%的含VOCs产品，其使用过程应采用密闭设备或在密闭空间内操作，废气应排至VOCs废气收集处理系统；无法密闭的，应采取局部气体收集措施，废气应排至VOCs废气收集处理系统。</w:t>
                  </w:r>
                </w:p>
              </w:tc>
              <w:tc>
                <w:tcPr>
                  <w:tcW w:w="1513"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本项目有机废气将采取局部气体收集措施，废气应排至VOCs废气收集处理系统</w:t>
                  </w:r>
                </w:p>
              </w:tc>
              <w:tc>
                <w:tcPr>
                  <w:tcW w:w="972"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Merge w:val="continue"/>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kern w:val="0"/>
                      <w:szCs w:val="21"/>
                      <w14:textFill>
                        <w14:solidFill>
                          <w14:schemeClr w14:val="tx1"/>
                        </w14:solidFill>
                      </w14:textFill>
                    </w:rPr>
                  </w:pPr>
                </w:p>
              </w:tc>
              <w:tc>
                <w:tcPr>
                  <w:tcW w:w="714"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3</w:t>
                  </w:r>
                </w:p>
              </w:tc>
              <w:tc>
                <w:tcPr>
                  <w:tcW w:w="3346"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企业应建立台账，记录含VOCs原辅材料和含VOCs产品的名称、使用量、回收量、废弃量、去向以及VOCs含量等信息，台账保存期限不少于5年。</w:t>
                  </w:r>
                </w:p>
              </w:tc>
              <w:tc>
                <w:tcPr>
                  <w:tcW w:w="1513"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企业将建立含VOCs原辅材料相关信息的台账，并按要求保存台账</w:t>
                  </w:r>
                </w:p>
              </w:tc>
              <w:tc>
                <w:tcPr>
                  <w:tcW w:w="972"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Merge w:val="continue"/>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kern w:val="0"/>
                      <w:szCs w:val="21"/>
                      <w14:textFill>
                        <w14:solidFill>
                          <w14:schemeClr w14:val="tx1"/>
                        </w14:solidFill>
                      </w14:textFill>
                    </w:rPr>
                  </w:pPr>
                </w:p>
              </w:tc>
              <w:tc>
                <w:tcPr>
                  <w:tcW w:w="714"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4</w:t>
                  </w:r>
                </w:p>
              </w:tc>
              <w:tc>
                <w:tcPr>
                  <w:tcW w:w="3346"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通风生产设备、操作工位、车间厂房等应在符合安全生产、职业卫生相关规定的前提下，根据行业作业规程与标准、工业建筑及洁净厂房通风设计规范等的要求，采用合理的通风量。</w:t>
                  </w:r>
                </w:p>
              </w:tc>
              <w:tc>
                <w:tcPr>
                  <w:tcW w:w="1513"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将根据相应要求，采用合理通风</w:t>
                  </w:r>
                </w:p>
              </w:tc>
              <w:tc>
                <w:tcPr>
                  <w:tcW w:w="972"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Merge w:val="continue"/>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kern w:val="0"/>
                      <w:szCs w:val="21"/>
                      <w14:textFill>
                        <w14:solidFill>
                          <w14:schemeClr w14:val="tx1"/>
                        </w14:solidFill>
                      </w14:textFill>
                    </w:rPr>
                  </w:pPr>
                </w:p>
              </w:tc>
              <w:tc>
                <w:tcPr>
                  <w:tcW w:w="714"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5</w:t>
                  </w:r>
                </w:p>
              </w:tc>
              <w:tc>
                <w:tcPr>
                  <w:tcW w:w="3346"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工艺过程产生的含VOCs废料（渣、液）应按照第5章（VOCs物料储存）、第6章（VOCs物料转移和输送）的要求进行储存转移和输送。盛装过VOCs物料的废包装容器应加盖密闭。</w:t>
                  </w:r>
                </w:p>
              </w:tc>
              <w:tc>
                <w:tcPr>
                  <w:tcW w:w="1513"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本项目工艺过程产生的含VOCs废料将按照要求进行密闭储存、转移和输送。盛装过VOCs物料的废包装容器均加盖密闭</w:t>
                  </w:r>
                </w:p>
              </w:tc>
              <w:tc>
                <w:tcPr>
                  <w:tcW w:w="972"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302" w:type="dxa"/>
                  <w:vMerge w:val="restart"/>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VOCs无组织排放废气收集处理系统要求</w:t>
                  </w:r>
                </w:p>
              </w:tc>
              <w:tc>
                <w:tcPr>
                  <w:tcW w:w="714"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1</w:t>
                  </w:r>
                </w:p>
              </w:tc>
              <w:tc>
                <w:tcPr>
                  <w:tcW w:w="3346"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VOCs废气收集处理系统应与生产工艺设备同步运行。VOCs废气收集处理系统发生故障或检修时，对应的生产工艺设备应停止运行，待检修完毕后同步投入使用；生产工艺设备不能停止运行或不能及时停止运行的，应设置废气应急处理设施或采取其他替代措施。</w:t>
                  </w:r>
                </w:p>
              </w:tc>
              <w:tc>
                <w:tcPr>
                  <w:tcW w:w="1513" w:type="dxa"/>
                  <w:vMerge w:val="restart"/>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本项目将收集处理系统应与生产工艺设备同步运行</w:t>
                  </w:r>
                </w:p>
              </w:tc>
              <w:tc>
                <w:tcPr>
                  <w:tcW w:w="972"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Merge w:val="continue"/>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kern w:val="0"/>
                      <w:szCs w:val="21"/>
                      <w14:textFill>
                        <w14:solidFill>
                          <w14:schemeClr w14:val="tx1"/>
                        </w14:solidFill>
                      </w14:textFill>
                    </w:rPr>
                  </w:pPr>
                </w:p>
              </w:tc>
              <w:tc>
                <w:tcPr>
                  <w:tcW w:w="714" w:type="dxa"/>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2</w:t>
                  </w:r>
                </w:p>
              </w:tc>
              <w:tc>
                <w:tcPr>
                  <w:tcW w:w="3346" w:type="dxa"/>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废气收集系统的输送管道应密闭。</w:t>
                  </w:r>
                </w:p>
              </w:tc>
              <w:tc>
                <w:tcPr>
                  <w:tcW w:w="1513" w:type="dxa"/>
                  <w:vMerge w:val="continue"/>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kern w:val="0"/>
                      <w:szCs w:val="21"/>
                      <w14:textFill>
                        <w14:solidFill>
                          <w14:schemeClr w14:val="tx1"/>
                        </w14:solidFill>
                      </w14:textFill>
                    </w:rPr>
                  </w:pPr>
                </w:p>
              </w:tc>
              <w:tc>
                <w:tcPr>
                  <w:tcW w:w="972" w:type="dxa"/>
                  <w:vAlign w:val="center"/>
                </w:tcPr>
                <w:p>
                  <w:pPr>
                    <w:pStyle w:val="63"/>
                    <w:keepNext w:val="0"/>
                    <w:keepLines w:val="0"/>
                    <w:pageBreakBefore w:val="0"/>
                    <w:kinsoku/>
                    <w:wordWrap/>
                    <w:overflowPunct/>
                    <w:topLinePunct w:val="0"/>
                    <w:autoSpaceDE/>
                    <w:autoSpaceDN/>
                    <w:bidi w:val="0"/>
                    <w:snapToGrid w:val="0"/>
                    <w:spacing w:line="240" w:lineRule="auto"/>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Merge w:val="continue"/>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kern w:val="0"/>
                      <w:szCs w:val="21"/>
                      <w14:textFill>
                        <w14:solidFill>
                          <w14:schemeClr w14:val="tx1"/>
                        </w14:solidFill>
                      </w14:textFill>
                    </w:rPr>
                  </w:pPr>
                </w:p>
              </w:tc>
              <w:tc>
                <w:tcPr>
                  <w:tcW w:w="714"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3</w:t>
                  </w:r>
                </w:p>
              </w:tc>
              <w:tc>
                <w:tcPr>
                  <w:tcW w:w="3346"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对于重点地区，收集的废气中NMHC初始排放速率大于等于2kg/h时，应配置VOCs处理设施，处理效率不应低于80%；采用的原辅材料符合国家有关低VOCs含量产品规定的除外。</w:t>
                  </w:r>
                </w:p>
              </w:tc>
              <w:tc>
                <w:tcPr>
                  <w:tcW w:w="1513"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本项目拟设二级活性炭吸附处理系统</w:t>
                  </w:r>
                </w:p>
              </w:tc>
              <w:tc>
                <w:tcPr>
                  <w:tcW w:w="972"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Merge w:val="continue"/>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kern w:val="0"/>
                      <w:szCs w:val="21"/>
                      <w14:textFill>
                        <w14:solidFill>
                          <w14:schemeClr w14:val="tx1"/>
                        </w14:solidFill>
                      </w14:textFill>
                    </w:rPr>
                  </w:pPr>
                </w:p>
              </w:tc>
              <w:tc>
                <w:tcPr>
                  <w:tcW w:w="714"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4</w:t>
                  </w:r>
                </w:p>
              </w:tc>
              <w:tc>
                <w:tcPr>
                  <w:tcW w:w="3346"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企业应建立台账，记录废气收集系统、VOCs处理设施的主要运行和维护信息，如运行时间、废气处理量、操作温度、停留时间、吸附剂再生/更换周期和更换量、催化剂更换周期和更换量、吸收液pH值等关键运行参数。台账保存期限不少于3年。</w:t>
                  </w:r>
                </w:p>
              </w:tc>
              <w:tc>
                <w:tcPr>
                  <w:tcW w:w="1513"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企业将建立相关台账，记录相关信息，并按要求保存台账</w:t>
                  </w:r>
                </w:p>
              </w:tc>
              <w:tc>
                <w:tcPr>
                  <w:tcW w:w="972"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企业厂区内及周边污染监控要求及污染物监测要求</w:t>
                  </w:r>
                </w:p>
              </w:tc>
              <w:tc>
                <w:tcPr>
                  <w:tcW w:w="714"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1</w:t>
                  </w:r>
                </w:p>
              </w:tc>
              <w:tc>
                <w:tcPr>
                  <w:tcW w:w="3346"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建立企业监测制度，制定监测方案，对污染物排放状况开展自行监测，保存原始监测记录，并公布监测结果</w:t>
                  </w:r>
                </w:p>
              </w:tc>
              <w:tc>
                <w:tcPr>
                  <w:tcW w:w="1513" w:type="dxa"/>
                  <w:vAlign w:val="center"/>
                </w:tcPr>
                <w:p>
                  <w:pPr>
                    <w:keepNext w:val="0"/>
                    <w:keepLines w:val="0"/>
                    <w:pageBreakBefore w:val="0"/>
                    <w:kinsoku/>
                    <w:wordWrap/>
                    <w:overflowPunct/>
                    <w:topLinePunct w:val="0"/>
                    <w:autoSpaceDE/>
                    <w:autoSpaceDN/>
                    <w:bidi w:val="0"/>
                    <w:adjustRightInd w:val="0"/>
                    <w:snapToGrid w:val="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企业拟建立监测制度，并按相关要求进行监测与公开</w:t>
                  </w:r>
                </w:p>
              </w:tc>
              <w:tc>
                <w:tcPr>
                  <w:tcW w:w="972" w:type="dxa"/>
                  <w:vAlign w:val="center"/>
                </w:tcPr>
                <w:p>
                  <w:pPr>
                    <w:pStyle w:val="63"/>
                    <w:keepNext w:val="0"/>
                    <w:keepLines w:val="0"/>
                    <w:pageBreakBefore w:val="0"/>
                    <w:kinsoku/>
                    <w:wordWrap/>
                    <w:overflowPunct/>
                    <w:topLinePunct w:val="0"/>
                    <w:autoSpaceDE/>
                    <w:autoSpaceDN/>
                    <w:bidi w:val="0"/>
                    <w:snapToGrid w:val="0"/>
                    <w:jc w:val="center"/>
                    <w:textAlignment w:val="auto"/>
                    <w:rPr>
                      <w:rFonts w:ascii="Times New Roman" w:hAnsi="Times New Roman"/>
                      <w:b w:val="0"/>
                      <w:color w:val="000000" w:themeColor="text1"/>
                      <w:sz w:val="21"/>
                      <w:szCs w:val="21"/>
                      <w14:textFill>
                        <w14:solidFill>
                          <w14:schemeClr w14:val="tx1"/>
                        </w14:solidFill>
                      </w14:textFill>
                    </w:rPr>
                  </w:pPr>
                  <w:r>
                    <w:rPr>
                      <w:rFonts w:ascii="Times New Roman" w:hAnsi="Times New Roman"/>
                      <w:b w:val="0"/>
                      <w:color w:val="000000" w:themeColor="text1"/>
                      <w:sz w:val="21"/>
                      <w:szCs w:val="21"/>
                      <w14:textFill>
                        <w14:solidFill>
                          <w14:schemeClr w14:val="tx1"/>
                        </w14:solidFill>
                      </w14:textFill>
                    </w:rPr>
                    <w:t>相符</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Times New Roman" w:hAnsi="Times New Roman" w:eastAsia="宋体" w:cs="Times New Roman"/>
                <w:b/>
                <w:bCs/>
                <w:color w:val="000000"/>
                <w:spacing w:val="0"/>
                <w:kern w:val="0"/>
                <w:sz w:val="24"/>
                <w:szCs w:val="24"/>
                <w:lang w:val="en-US" w:eastAsia="zh-CN" w:bidi="ar-SA"/>
              </w:rPr>
            </w:pPr>
            <w:r>
              <w:rPr>
                <w:rFonts w:hint="eastAsia" w:ascii="Times New Roman" w:hAnsi="Times New Roman" w:eastAsia="宋体" w:cs="Times New Roman"/>
                <w:b/>
                <w:bCs/>
                <w:color w:val="000000"/>
                <w:spacing w:val="0"/>
                <w:kern w:val="0"/>
                <w:sz w:val="24"/>
                <w:szCs w:val="24"/>
                <w:lang w:val="en-US" w:eastAsia="zh-CN" w:bidi="ar-SA"/>
              </w:rPr>
              <w:t>13、与《油墨中可挥发性有机化合物(VOCs)含量的限值》（GB38507-2020）</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imes New Roman" w:hAnsi="Times New Roman" w:eastAsia="宋体" w:cs="Times New Roman"/>
                <w:b/>
                <w:bCs/>
                <w:color w:val="000000"/>
                <w:spacing w:val="0"/>
                <w:kern w:val="0"/>
                <w:sz w:val="24"/>
                <w:szCs w:val="24"/>
                <w:lang w:val="en-US" w:eastAsia="zh-CN" w:bidi="ar-SA"/>
              </w:rPr>
            </w:pPr>
            <w:r>
              <w:rPr>
                <w:rFonts w:hint="eastAsia" w:ascii="Times New Roman" w:hAnsi="Times New Roman" w:eastAsia="宋体" w:cs="Times New Roman"/>
                <w:b/>
                <w:bCs/>
                <w:color w:val="000000"/>
                <w:spacing w:val="0"/>
                <w:kern w:val="0"/>
                <w:sz w:val="24"/>
                <w:szCs w:val="24"/>
                <w:lang w:val="en-US" w:eastAsia="zh-CN" w:bidi="ar-SA"/>
              </w:rPr>
              <w:t>相符性分析</w:t>
            </w:r>
          </w:p>
          <w:p>
            <w:pPr>
              <w:pStyle w:val="60"/>
              <w:adjustRightInd w:val="0"/>
              <w:snapToGrid w:val="0"/>
              <w:spacing w:line="500" w:lineRule="exact"/>
              <w:ind w:firstLine="480" w:firstLineChars="200"/>
              <w:rPr>
                <w:rFonts w:hint="default" w:ascii="Times New Roman" w:hAnsi="Times New Roman" w:cs="Times New Roman"/>
                <w:bCs/>
                <w:spacing w:val="0"/>
                <w:kern w:val="0"/>
                <w:sz w:val="24"/>
                <w:lang w:val="en-US" w:eastAsia="zh-CN"/>
              </w:rPr>
            </w:pPr>
            <w:r>
              <w:rPr>
                <w:rFonts w:hint="eastAsia" w:ascii="Times New Roman" w:hAnsi="Times New Roman" w:cs="Times New Roman"/>
                <w:bCs/>
                <w:spacing w:val="0"/>
                <w:kern w:val="0"/>
                <w:sz w:val="24"/>
                <w:lang w:val="en-US" w:eastAsia="zh-CN"/>
              </w:rPr>
              <w:t>《油墨中可挥发性有机化合物(VOCs)含量的限值》（GB38507-2020）表2要求水性油墨中网印油墨挥发性有机物（VOCs）限值为小于等于30%，本项目网印油墨用量为0.08t/a，</w:t>
            </w:r>
            <w:r>
              <w:rPr>
                <w:rFonts w:hint="default" w:ascii="Times New Roman" w:hAnsi="Times New Roman" w:cs="Times New Roman"/>
                <w:bCs/>
                <w:spacing w:val="0"/>
                <w:kern w:val="0"/>
                <w:sz w:val="24"/>
                <w:lang w:val="en-US"/>
              </w:rPr>
              <w:t>高沸点溶剂（</w:t>
            </w:r>
            <w:r>
              <w:rPr>
                <w:rFonts w:ascii="Times New Roman" w:hAnsi="Times New Roman" w:cs="Times New Roman"/>
                <w:bCs/>
                <w:spacing w:val="0"/>
                <w:kern w:val="0"/>
                <w:sz w:val="24"/>
                <w:lang w:val="en-US"/>
              </w:rPr>
              <w:t>DBE</w:t>
            </w:r>
            <w:r>
              <w:rPr>
                <w:rFonts w:hint="default" w:ascii="Times New Roman" w:hAnsi="Times New Roman" w:cs="Times New Roman"/>
                <w:bCs/>
                <w:spacing w:val="0"/>
                <w:kern w:val="0"/>
                <w:sz w:val="24"/>
                <w:lang w:val="en-US"/>
              </w:rPr>
              <w:t>）</w:t>
            </w:r>
            <w:r>
              <w:rPr>
                <w:rFonts w:hint="eastAsia" w:ascii="Times New Roman" w:hAnsi="Times New Roman" w:cs="Times New Roman"/>
                <w:bCs/>
                <w:spacing w:val="0"/>
                <w:kern w:val="0"/>
                <w:sz w:val="24"/>
                <w:lang w:val="en-US" w:eastAsia="zh-CN"/>
              </w:rPr>
              <w:t>含量为2.9%，小于30%。满足《油墨中可挥发性有机化合物(VOCs)含量的限值》（GB38507-2020）要求。</w:t>
            </w:r>
          </w:p>
          <w:p>
            <w:pPr>
              <w:keepNext w:val="0"/>
              <w:keepLines w:val="0"/>
              <w:pageBreakBefore w:val="0"/>
              <w:widowControl w:val="0"/>
              <w:numPr>
                <w:ilvl w:val="0"/>
                <w:numId w:val="5"/>
              </w:numPr>
              <w:kinsoku/>
              <w:wordWrap/>
              <w:overflowPunct/>
              <w:topLinePunct w:val="0"/>
              <w:autoSpaceDE/>
              <w:autoSpaceDN/>
              <w:bidi w:val="0"/>
              <w:adjustRightInd/>
              <w:snapToGrid/>
              <w:spacing w:line="500" w:lineRule="exact"/>
              <w:textAlignment w:val="auto"/>
              <w:rPr>
                <w:rFonts w:hint="eastAsia" w:cs="Times New Roman"/>
                <w:b/>
                <w:bCs/>
                <w:color w:val="000000"/>
                <w:spacing w:val="0"/>
                <w:kern w:val="0"/>
                <w:sz w:val="24"/>
                <w:szCs w:val="24"/>
                <w:lang w:val="en-US" w:eastAsia="zh-CN" w:bidi="ar-SA"/>
              </w:rPr>
            </w:pPr>
            <w:r>
              <w:rPr>
                <w:rFonts w:hint="eastAsia" w:ascii="Times New Roman" w:hAnsi="Times New Roman" w:eastAsia="宋体" w:cs="Times New Roman"/>
                <w:b/>
                <w:bCs/>
                <w:color w:val="000000"/>
                <w:spacing w:val="0"/>
                <w:kern w:val="0"/>
                <w:sz w:val="24"/>
                <w:szCs w:val="24"/>
                <w:lang w:val="en-US" w:eastAsia="zh-CN" w:bidi="ar-SA"/>
              </w:rPr>
              <w:t>与《省大气办关于印发&lt;江苏省挥发性有机物清洁原料替代工作方案&gt;的通知》（苏大气办〔2021〕2 号）</w:t>
            </w:r>
            <w:r>
              <w:rPr>
                <w:rFonts w:hint="eastAsia" w:cs="Times New Roman"/>
                <w:b/>
                <w:bCs/>
                <w:color w:val="000000"/>
                <w:spacing w:val="0"/>
                <w:kern w:val="0"/>
                <w:sz w:val="24"/>
                <w:szCs w:val="24"/>
                <w:lang w:val="en-US" w:eastAsia="zh-CN" w:bidi="ar-SA"/>
              </w:rPr>
              <w:t>相符性分析</w:t>
            </w:r>
          </w:p>
          <w:p>
            <w:pPr>
              <w:pStyle w:val="2"/>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00" w:lineRule="exact"/>
              <w:ind w:firstLine="480" w:firstLineChars="200"/>
              <w:textAlignment w:val="auto"/>
              <w:rPr>
                <w:rFonts w:hint="eastAsia" w:ascii="Times New Roman" w:hAnsi="Times New Roman" w:cs="Times New Roman"/>
                <w:bCs/>
                <w:spacing w:val="0"/>
                <w:kern w:val="0"/>
                <w:sz w:val="24"/>
                <w:szCs w:val="24"/>
                <w:lang w:val="en-US" w:eastAsia="zh-CN" w:bidi="zh-CN"/>
              </w:rPr>
            </w:pPr>
            <w:r>
              <w:rPr>
                <w:rFonts w:hint="default" w:ascii="Times New Roman" w:hAnsi="Times New Roman" w:eastAsia="宋体" w:cs="Times New Roman"/>
                <w:bCs/>
                <w:spacing w:val="0"/>
                <w:kern w:val="0"/>
                <w:sz w:val="24"/>
                <w:szCs w:val="24"/>
                <w:lang w:val="en-US" w:eastAsia="zh-CN" w:bidi="zh-CN"/>
              </w:rPr>
              <w:t>本项目与《省大气办关于印发&lt;江苏省挥发性有机物清洁原料替代工作方案&gt;的通知》（苏大气办〔2021〕2 号）相符性分析如下：（一）明确替代要求。以工业涂装、包装印刷、木材加工、纺织（附件 1）等行业为重点，分阶段推进 3130 家企业（附件 2）清洁原料替代工作。实施替代的企业要使用符合《低挥发性有机化合物含量涂料产品技术要求》（GB/T 38597-2020）规定的粉末、水性、无溶剂、辐射固化涂料产品；符合《油墨中可挥发性有机化合物（VOCs）含量的限值》（GB38507-2020）规定的水性油墨和能量固化油墨产品； 符合《清洗剂挥发性有机化合物含量限值》（GB 38508-2020）规定的水基、半水基清洗剂产品；符合《胶粘剂挥发性有机化合物限量》（GB 33372-2020）规定的水基型、本体型胶粘剂产品。若确实无法达到上述要求，应提供相应的论证说明，相关涂料、油墨、清洗剂、胶粘剂等产品应符合相关标准中 VOCs 含量的限值要求）。（二）严格准入条件。禁止建设生产和使用高 VOCs 含量的涂料、油墨、胶黏剂等项目。2021 年起，全省工业涂装、包装印刷、纺织、木材加工等行业以及涂料、油墨等生产企业的新（改、扩）建项目需满足低（无）VOCs 含量限值要求。省内市场上流通的水性涂料等低挥发性有机物含量涂料产品，执行国家《低挥发性有机化合物含量涂料产品技术要求》（GB/T 38597-2020）</w:t>
            </w:r>
            <w:r>
              <w:rPr>
                <w:rFonts w:hint="eastAsia" w:ascii="Times New Roman" w:hAnsi="Times New Roman" w:cs="Times New Roman"/>
                <w:bCs/>
                <w:spacing w:val="0"/>
                <w:kern w:val="0"/>
                <w:sz w:val="24"/>
                <w:szCs w:val="24"/>
                <w:lang w:val="en-US" w:eastAsia="zh-CN" w:bidi="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kern w:val="0"/>
              </w:rPr>
            </w:pPr>
            <w:r>
              <w:rPr>
                <w:rFonts w:hint="eastAsia" w:ascii="Times New Roman" w:hAnsi="Times New Roman" w:eastAsia="宋体" w:cs="Times New Roman"/>
                <w:sz w:val="24"/>
                <w:lang w:val="en-US" w:eastAsia="zh-CN"/>
              </w:rPr>
              <w:t>通过13的相符性分析可知，本项目所用网印油墨符合《油墨中可挥发性有机化合物(VOCs)含量的限值》（GB38507-2020）要求。综上所述，本项目符合《省大气办关于印发&lt;江苏省挥发性有机物清洁原料替代工作方案&gt;的通知》（苏大气办〔2021〕2 号）的相关要求。</w:t>
            </w:r>
          </w:p>
        </w:tc>
      </w:tr>
    </w:tbl>
    <w:p>
      <w:pPr>
        <w:pStyle w:val="29"/>
        <w:adjustRightInd w:val="0"/>
        <w:snapToGrid w:val="0"/>
        <w:spacing w:before="0" w:beforeAutospacing="0" w:after="0" w:afterAutospacing="0"/>
        <w:outlineLvl w:val="0"/>
        <w:rPr>
          <w:rFonts w:ascii="黑体" w:hAnsi="黑体" w:eastAsia="黑体"/>
          <w:snapToGrid w:val="0"/>
          <w:sz w:val="30"/>
          <w:szCs w:val="30"/>
        </w:rPr>
        <w:sectPr>
          <w:footerReference r:id="rId5" w:type="default"/>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29"/>
        <w:adjustRightInd w:val="0"/>
        <w:snapToGrid w:val="0"/>
        <w:spacing w:before="0" w:beforeAutospacing="0" w:after="0" w:afterAutospacing="0"/>
        <w:outlineLvl w:val="0"/>
        <w:rPr>
          <w:rFonts w:ascii="黑体" w:hAnsi="黑体" w:eastAsia="黑体"/>
          <w:snapToGrid w:val="0"/>
          <w:sz w:val="30"/>
          <w:szCs w:val="30"/>
        </w:rPr>
      </w:pPr>
      <w:r>
        <w:rPr>
          <w:rFonts w:hint="eastAsia" w:ascii="黑体" w:hAnsi="黑体" w:eastAsia="黑体"/>
          <w:snapToGrid w:val="0"/>
          <w:sz w:val="30"/>
          <w:szCs w:val="30"/>
        </w:rPr>
        <w:t>二、建设项目工程分析</w:t>
      </w:r>
    </w:p>
    <w:tbl>
      <w:tblPr>
        <w:tblStyle w:val="3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86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22" w:hRule="atLeast"/>
          <w:jc w:val="center"/>
        </w:trPr>
        <w:tc>
          <w:tcPr>
            <w:tcW w:w="452" w:type="dxa"/>
            <w:vAlign w:val="center"/>
          </w:tcPr>
          <w:p>
            <w:pPr>
              <w:pStyle w:val="29"/>
              <w:adjustRightInd w:val="0"/>
              <w:snapToGrid w:val="0"/>
              <w:spacing w:before="0" w:beforeAutospacing="0" w:after="0" w:afterAutospacing="0"/>
              <w:jc w:val="center"/>
              <w:rPr>
                <w:rFonts w:cs="宋体"/>
                <w:szCs w:val="24"/>
              </w:rPr>
            </w:pPr>
            <w:r>
              <w:rPr>
                <w:rFonts w:hint="eastAsia" w:cs="宋体"/>
                <w:szCs w:val="24"/>
              </w:rPr>
              <w:t>建设内容</w:t>
            </w:r>
          </w:p>
        </w:tc>
        <w:tc>
          <w:tcPr>
            <w:tcW w:w="8608" w:type="dxa"/>
          </w:tcPr>
          <w:p>
            <w:pPr>
              <w:spacing w:line="500" w:lineRule="exact"/>
              <w:ind w:firstLine="482" w:firstLineChars="200"/>
              <w:rPr>
                <w:b/>
                <w:bCs/>
                <w:sz w:val="24"/>
              </w:rPr>
            </w:pPr>
            <w:r>
              <w:rPr>
                <w:b/>
                <w:bCs/>
                <w:sz w:val="24"/>
              </w:rPr>
              <w:t>1、项目由来</w:t>
            </w:r>
          </w:p>
          <w:p>
            <w:pPr>
              <w:spacing w:line="500" w:lineRule="exact"/>
              <w:ind w:firstLine="480" w:firstLineChars="200"/>
              <w:rPr>
                <w:sz w:val="24"/>
              </w:rPr>
            </w:pPr>
            <w:r>
              <w:rPr>
                <w:rFonts w:hint="eastAsia"/>
                <w:sz w:val="24"/>
              </w:rPr>
              <w:t>江苏辰烜消防科技有限公司</w:t>
            </w:r>
            <w:r>
              <w:rPr>
                <w:sz w:val="24"/>
              </w:rPr>
              <w:t>成立于</w:t>
            </w:r>
            <w:r>
              <w:rPr>
                <w:rFonts w:hint="eastAsia"/>
                <w:sz w:val="24"/>
              </w:rPr>
              <w:t>2022</w:t>
            </w:r>
            <w:r>
              <w:rPr>
                <w:sz w:val="24"/>
              </w:rPr>
              <w:t>年</w:t>
            </w:r>
            <w:r>
              <w:rPr>
                <w:rFonts w:hint="eastAsia"/>
                <w:sz w:val="24"/>
              </w:rPr>
              <w:t>7</w:t>
            </w:r>
            <w:r>
              <w:rPr>
                <w:sz w:val="24"/>
              </w:rPr>
              <w:t>月</w:t>
            </w:r>
            <w:r>
              <w:rPr>
                <w:rFonts w:hint="eastAsia"/>
                <w:sz w:val="24"/>
              </w:rPr>
              <w:t>29</w:t>
            </w:r>
            <w:r>
              <w:rPr>
                <w:sz w:val="24"/>
              </w:rPr>
              <w:t>日，根据公司战略发展规划及市场需求，企业</w:t>
            </w:r>
            <w:r>
              <w:rPr>
                <w:rFonts w:hint="eastAsia"/>
                <w:color w:val="0000FF"/>
                <w:sz w:val="24"/>
                <w:lang w:val="en-US" w:eastAsia="zh-CN"/>
              </w:rPr>
              <w:t>拟</w:t>
            </w:r>
            <w:r>
              <w:rPr>
                <w:sz w:val="24"/>
              </w:rPr>
              <w:t>投资</w:t>
            </w:r>
            <w:r>
              <w:rPr>
                <w:rFonts w:hint="eastAsia"/>
                <w:sz w:val="24"/>
              </w:rPr>
              <w:t>63000</w:t>
            </w:r>
            <w:r>
              <w:rPr>
                <w:sz w:val="24"/>
              </w:rPr>
              <w:t>万元，租赁</w:t>
            </w:r>
            <w:r>
              <w:rPr>
                <w:rFonts w:hint="eastAsia"/>
                <w:sz w:val="24"/>
              </w:rPr>
              <w:t>贺安特传动科技有限公司合法房屋</w:t>
            </w:r>
            <w:r>
              <w:rPr>
                <w:sz w:val="24"/>
              </w:rPr>
              <w:t>，用地性质为工业用地，</w:t>
            </w:r>
            <w:r>
              <w:rPr>
                <w:rFonts w:hint="eastAsia"/>
                <w:sz w:val="24"/>
              </w:rPr>
              <w:t>购置强力、拉伸、冲击、耐候测试实验设备组、压铸机、熔铝炉（电炉）、锻压机、热固化塑粉喷塑线等179台（套）主要生产设备，</w:t>
            </w:r>
            <w:r>
              <w:rPr>
                <w:sz w:val="24"/>
              </w:rPr>
              <w:t>拟建设</w:t>
            </w:r>
            <w:r>
              <w:rPr>
                <w:rFonts w:hint="eastAsia"/>
                <w:color w:val="0000FF"/>
                <w:sz w:val="24"/>
                <w:lang w:eastAsia="zh-CN"/>
              </w:rPr>
              <w:t>“</w:t>
            </w:r>
            <w:r>
              <w:rPr>
                <w:rFonts w:hint="eastAsia"/>
                <w:sz w:val="24"/>
              </w:rPr>
              <w:t>年产约200万套高端消防装备及60万套消防水枪、接口及组件项目</w:t>
            </w:r>
            <w:r>
              <w:rPr>
                <w:rFonts w:hint="eastAsia"/>
                <w:color w:val="0000FF"/>
                <w:sz w:val="24"/>
                <w:lang w:eastAsia="zh-CN"/>
              </w:rPr>
              <w:t>”</w:t>
            </w:r>
            <w:r>
              <w:rPr>
                <w:rFonts w:hint="eastAsia"/>
                <w:sz w:val="24"/>
              </w:rPr>
              <w:t>，项目建成后，年产约200万套高端消防装备及60万套消防水枪、接口及组件。</w:t>
            </w:r>
          </w:p>
          <w:p>
            <w:pPr>
              <w:spacing w:line="500" w:lineRule="exact"/>
              <w:ind w:firstLine="480" w:firstLineChars="200"/>
              <w:rPr>
                <w:sz w:val="24"/>
              </w:rPr>
            </w:pPr>
            <w:r>
              <w:rPr>
                <w:sz w:val="24"/>
              </w:rPr>
              <w:t>项目已于20</w:t>
            </w:r>
            <w:r>
              <w:rPr>
                <w:rFonts w:hint="eastAsia"/>
                <w:sz w:val="24"/>
              </w:rPr>
              <w:t>23</w:t>
            </w:r>
            <w:r>
              <w:rPr>
                <w:sz w:val="24"/>
              </w:rPr>
              <w:t>年</w:t>
            </w:r>
            <w:r>
              <w:rPr>
                <w:rFonts w:hint="eastAsia"/>
                <w:sz w:val="24"/>
              </w:rPr>
              <w:t>8</w:t>
            </w:r>
            <w:r>
              <w:rPr>
                <w:sz w:val="24"/>
              </w:rPr>
              <w:t>月</w:t>
            </w:r>
            <w:r>
              <w:rPr>
                <w:rFonts w:hint="eastAsia"/>
                <w:sz w:val="24"/>
              </w:rPr>
              <w:t>2</w:t>
            </w:r>
            <w:r>
              <w:rPr>
                <w:sz w:val="24"/>
              </w:rPr>
              <w:t>日取得</w:t>
            </w:r>
            <w:r>
              <w:rPr>
                <w:rFonts w:hint="eastAsia"/>
                <w:sz w:val="24"/>
              </w:rPr>
              <w:t>泰州医药高新技术产业开发区（泰州市高港区）行政审批局</w:t>
            </w:r>
            <w:r>
              <w:rPr>
                <w:sz w:val="24"/>
              </w:rPr>
              <w:t>出具的《</w:t>
            </w:r>
            <w:r>
              <w:rPr>
                <w:rFonts w:hint="eastAsia"/>
                <w:sz w:val="24"/>
              </w:rPr>
              <w:t>江苏省投资项目备案证</w:t>
            </w:r>
            <w:r>
              <w:rPr>
                <w:sz w:val="24"/>
              </w:rPr>
              <w:t>》（</w:t>
            </w:r>
            <w:r>
              <w:rPr>
                <w:rFonts w:hint="eastAsia"/>
                <w:sz w:val="24"/>
              </w:rPr>
              <w:t>泰高新行审备</w:t>
            </w:r>
            <w:r>
              <w:rPr>
                <w:sz w:val="24"/>
              </w:rPr>
              <w:t>〔20</w:t>
            </w:r>
            <w:r>
              <w:rPr>
                <w:rFonts w:hint="eastAsia"/>
                <w:sz w:val="24"/>
              </w:rPr>
              <w:t>23</w:t>
            </w:r>
            <w:r>
              <w:rPr>
                <w:sz w:val="24"/>
              </w:rPr>
              <w:t>〕</w:t>
            </w:r>
            <w:r>
              <w:rPr>
                <w:rFonts w:hint="eastAsia"/>
                <w:sz w:val="24"/>
              </w:rPr>
              <w:t>366号</w:t>
            </w:r>
            <w:r>
              <w:rPr>
                <w:sz w:val="24"/>
              </w:rPr>
              <w:t>）</w:t>
            </w:r>
            <w:r>
              <w:rPr>
                <w:rFonts w:hint="eastAsia"/>
                <w:sz w:val="24"/>
              </w:rPr>
              <w:t>。</w:t>
            </w:r>
          </w:p>
          <w:p>
            <w:pPr>
              <w:spacing w:line="500" w:lineRule="exact"/>
              <w:ind w:firstLine="480" w:firstLineChars="200"/>
              <w:rPr>
                <w:sz w:val="24"/>
              </w:rPr>
            </w:pPr>
            <w:r>
              <w:rPr>
                <w:sz w:val="24"/>
              </w:rPr>
              <w:t>按照根据《建设项目环境影响评价分类管理名录》（2021年版）、《建设项目环境保护管理条例》</w:t>
            </w:r>
            <w:r>
              <w:rPr>
                <w:rFonts w:hint="eastAsia"/>
                <w:sz w:val="24"/>
              </w:rPr>
              <w:t>的有关规定</w:t>
            </w:r>
            <w:r>
              <w:rPr>
                <w:sz w:val="24"/>
              </w:rPr>
              <w:t>，本项目属于三十二、专用设备制造业35中</w:t>
            </w:r>
            <w:r>
              <w:rPr>
                <w:rFonts w:hint="eastAsia"/>
                <w:color w:val="0000FF"/>
                <w:sz w:val="24"/>
                <w:lang w:eastAsia="zh-CN"/>
              </w:rPr>
              <w:t>“</w:t>
            </w:r>
            <w:r>
              <w:rPr>
                <w:sz w:val="24"/>
              </w:rPr>
              <w:t>359环保、邮政、社会公共服务及其他专用设备制造</w:t>
            </w:r>
            <w:r>
              <w:rPr>
                <w:rFonts w:hint="eastAsia"/>
                <w:color w:val="0000FF"/>
                <w:sz w:val="24"/>
                <w:lang w:eastAsia="zh-CN"/>
              </w:rPr>
              <w:t>”</w:t>
            </w:r>
            <w:r>
              <w:rPr>
                <w:sz w:val="24"/>
              </w:rPr>
              <w:t>中其他（仅分割、焊接、组装的除外；年用非溶剂型低VOCs含量涂料10吨以下的除外），应该编制环境影响报告表。</w:t>
            </w:r>
            <w:r>
              <w:rPr>
                <w:rFonts w:hint="eastAsia"/>
                <w:sz w:val="24"/>
              </w:rPr>
              <w:t>江苏辰烜消防科技有限公司</w:t>
            </w:r>
            <w:r>
              <w:rPr>
                <w:sz w:val="24"/>
              </w:rPr>
              <w:t>委托本公司开展该项目环境影响评价工作。我公司接受委托后，认真研究了项目有关材料，并组织技术人员进行实地踏勘，初步调研，收集和核实了有关材料，委托相关检测公司实施了环境现状监测。在此基础上，按照国家对建设项目环境影响评价的有关规定和有关环保政策、技术规范，编制完成了本环境影响报告表，报请环保主管部门审批。</w:t>
            </w:r>
          </w:p>
          <w:p>
            <w:pPr>
              <w:spacing w:line="500" w:lineRule="exact"/>
              <w:ind w:firstLine="482" w:firstLineChars="200"/>
              <w:rPr>
                <w:b/>
                <w:bCs/>
                <w:sz w:val="24"/>
              </w:rPr>
            </w:pPr>
            <w:r>
              <w:rPr>
                <w:rFonts w:hint="eastAsia"/>
                <w:b/>
                <w:bCs/>
                <w:sz w:val="24"/>
              </w:rPr>
              <w:t>2</w:t>
            </w:r>
            <w:r>
              <w:rPr>
                <w:b/>
                <w:bCs/>
                <w:sz w:val="24"/>
              </w:rPr>
              <w:t>、项目概况</w:t>
            </w:r>
          </w:p>
          <w:p>
            <w:pPr>
              <w:spacing w:line="500" w:lineRule="exact"/>
              <w:ind w:firstLine="480" w:firstLineChars="200"/>
              <w:rPr>
                <w:sz w:val="24"/>
              </w:rPr>
            </w:pPr>
            <w:r>
              <w:rPr>
                <w:sz w:val="24"/>
              </w:rPr>
              <w:t>项目名称：</w:t>
            </w:r>
            <w:r>
              <w:rPr>
                <w:rFonts w:hint="eastAsia"/>
                <w:sz w:val="24"/>
              </w:rPr>
              <w:t>年产约200万套高端消防装备及60万套消防水枪、接口及组件</w:t>
            </w:r>
            <w:r>
              <w:rPr>
                <w:sz w:val="24"/>
              </w:rPr>
              <w:t>；</w:t>
            </w:r>
          </w:p>
          <w:p>
            <w:pPr>
              <w:spacing w:line="500" w:lineRule="exact"/>
              <w:ind w:firstLine="480" w:firstLineChars="200"/>
              <w:rPr>
                <w:sz w:val="24"/>
              </w:rPr>
            </w:pPr>
            <w:r>
              <w:rPr>
                <w:sz w:val="24"/>
              </w:rPr>
              <w:t>建设单位：</w:t>
            </w:r>
            <w:r>
              <w:rPr>
                <w:rFonts w:hint="eastAsia"/>
                <w:sz w:val="24"/>
              </w:rPr>
              <w:t>江苏辰烜消防科技有限公司</w:t>
            </w:r>
            <w:r>
              <w:rPr>
                <w:sz w:val="24"/>
              </w:rPr>
              <w:t>；</w:t>
            </w:r>
          </w:p>
          <w:p>
            <w:pPr>
              <w:spacing w:line="500" w:lineRule="exact"/>
              <w:ind w:firstLine="480" w:firstLineChars="200"/>
              <w:rPr>
                <w:sz w:val="24"/>
              </w:rPr>
            </w:pPr>
            <w:r>
              <w:rPr>
                <w:sz w:val="24"/>
              </w:rPr>
              <w:t>建设性质：新建；</w:t>
            </w:r>
          </w:p>
          <w:p>
            <w:pPr>
              <w:spacing w:line="500" w:lineRule="exact"/>
              <w:ind w:firstLine="480" w:firstLineChars="200"/>
              <w:rPr>
                <w:sz w:val="24"/>
              </w:rPr>
            </w:pPr>
            <w:r>
              <w:rPr>
                <w:sz w:val="24"/>
              </w:rPr>
              <w:t>行业代码：</w:t>
            </w:r>
            <w:r>
              <w:rPr>
                <w:rFonts w:hint="eastAsia"/>
                <w:sz w:val="24"/>
              </w:rPr>
              <w:t>〔C3595〕社会公共服务及其他专用设备制造</w:t>
            </w:r>
          </w:p>
          <w:p>
            <w:pPr>
              <w:spacing w:line="500" w:lineRule="exact"/>
              <w:ind w:firstLine="480" w:firstLineChars="200"/>
              <w:rPr>
                <w:sz w:val="24"/>
              </w:rPr>
            </w:pPr>
            <w:r>
              <w:rPr>
                <w:sz w:val="24"/>
              </w:rPr>
              <w:t>建设地点：</w:t>
            </w:r>
            <w:r>
              <w:rPr>
                <w:rFonts w:hint="eastAsia"/>
                <w:sz w:val="24"/>
              </w:rPr>
              <w:t>江苏省泰州市高港区永盛路5号</w:t>
            </w:r>
            <w:r>
              <w:rPr>
                <w:sz w:val="24"/>
              </w:rPr>
              <w:t>；投资总额：投资总额</w:t>
            </w:r>
            <w:r>
              <w:rPr>
                <w:rFonts w:hint="eastAsia"/>
                <w:sz w:val="24"/>
              </w:rPr>
              <w:t>63</w:t>
            </w:r>
            <w:r>
              <w:rPr>
                <w:sz w:val="24"/>
              </w:rPr>
              <w:t>00</w:t>
            </w:r>
            <w:r>
              <w:rPr>
                <w:rFonts w:hint="eastAsia"/>
                <w:sz w:val="24"/>
              </w:rPr>
              <w:t>0</w:t>
            </w:r>
            <w:r>
              <w:rPr>
                <w:sz w:val="24"/>
              </w:rPr>
              <w:t>万元，环保投资</w:t>
            </w:r>
            <w:r>
              <w:rPr>
                <w:rFonts w:hint="eastAsia"/>
                <w:sz w:val="24"/>
              </w:rPr>
              <w:t>200</w:t>
            </w:r>
            <w:r>
              <w:rPr>
                <w:sz w:val="24"/>
              </w:rPr>
              <w:t>万元，占总投资的</w:t>
            </w:r>
            <w:r>
              <w:rPr>
                <w:rFonts w:hint="eastAsia"/>
                <w:sz w:val="24"/>
              </w:rPr>
              <w:t>0.32</w:t>
            </w:r>
            <w:r>
              <w:rPr>
                <w:sz w:val="24"/>
              </w:rPr>
              <w:t>%；</w:t>
            </w:r>
          </w:p>
          <w:p>
            <w:pPr>
              <w:spacing w:line="500" w:lineRule="exact"/>
              <w:ind w:firstLine="480" w:firstLineChars="200"/>
              <w:rPr>
                <w:sz w:val="24"/>
              </w:rPr>
            </w:pPr>
            <w:r>
              <w:rPr>
                <w:sz w:val="24"/>
              </w:rPr>
              <w:t>劳动定员</w:t>
            </w:r>
            <w:r>
              <w:rPr>
                <w:rFonts w:hint="eastAsia"/>
                <w:sz w:val="24"/>
              </w:rPr>
              <w:t>及</w:t>
            </w:r>
            <w:r>
              <w:rPr>
                <w:sz w:val="24"/>
              </w:rPr>
              <w:t>工作制度：</w:t>
            </w:r>
            <w:r>
              <w:rPr>
                <w:rFonts w:hint="eastAsia"/>
                <w:sz w:val="24"/>
              </w:rPr>
              <w:t>员工25</w:t>
            </w:r>
            <w:r>
              <w:rPr>
                <w:sz w:val="24"/>
              </w:rPr>
              <w:t>人</w:t>
            </w:r>
            <w:r>
              <w:rPr>
                <w:rFonts w:hint="eastAsia"/>
                <w:sz w:val="24"/>
              </w:rPr>
              <w:t>，厂区不设置食堂、宿舍</w:t>
            </w:r>
            <w:r>
              <w:rPr>
                <w:sz w:val="24"/>
              </w:rPr>
              <w:t>；实行8小时单班制，年工作</w:t>
            </w:r>
            <w:r>
              <w:rPr>
                <w:rFonts w:hint="eastAsia"/>
                <w:sz w:val="24"/>
              </w:rPr>
              <w:t>300天，2400小时。</w:t>
            </w:r>
          </w:p>
          <w:p>
            <w:pPr>
              <w:spacing w:line="500" w:lineRule="exact"/>
              <w:ind w:firstLine="482" w:firstLineChars="200"/>
              <w:rPr>
                <w:b/>
                <w:bCs/>
                <w:sz w:val="24"/>
              </w:rPr>
            </w:pPr>
            <w:r>
              <w:rPr>
                <w:rFonts w:hint="eastAsia"/>
                <w:b/>
                <w:bCs/>
                <w:sz w:val="24"/>
              </w:rPr>
              <w:t>3、产品方案</w:t>
            </w:r>
          </w:p>
          <w:p>
            <w:pPr>
              <w:spacing w:line="500" w:lineRule="exact"/>
              <w:ind w:firstLine="480" w:firstLineChars="200"/>
              <w:rPr>
                <w:sz w:val="24"/>
              </w:rPr>
            </w:pPr>
            <w:r>
              <w:rPr>
                <w:rFonts w:hint="eastAsia"/>
                <w:sz w:val="24"/>
              </w:rPr>
              <w:t>本项目从事社会公共服务及其他专用设备制造，项目产品方案见表2-1。</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bCs/>
                <w:szCs w:val="21"/>
              </w:rPr>
            </w:pPr>
            <w:r>
              <w:rPr>
                <w:b/>
                <w:bCs/>
                <w:szCs w:val="21"/>
              </w:rPr>
              <w:t>表2-1项目主体工程及产品方案</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9"/>
              <w:gridCol w:w="2773"/>
              <w:gridCol w:w="1034"/>
              <w:gridCol w:w="2270"/>
              <w:gridCol w:w="15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4" w:type="dxa"/>
                  <w:tcBorders>
                    <w:tl2br w:val="nil"/>
                    <w:tr2bl w:val="nil"/>
                  </w:tcBorders>
                  <w:vAlign w:val="center"/>
                </w:tcPr>
                <w:p>
                  <w:pPr>
                    <w:adjustRightInd w:val="0"/>
                    <w:snapToGrid w:val="0"/>
                    <w:jc w:val="center"/>
                    <w:rPr>
                      <w:b/>
                      <w:bCs/>
                      <w:szCs w:val="21"/>
                    </w:rPr>
                  </w:pPr>
                  <w:r>
                    <w:rPr>
                      <w:rFonts w:hint="eastAsia"/>
                      <w:b/>
                      <w:bCs/>
                      <w:szCs w:val="21"/>
                    </w:rPr>
                    <w:t>序号</w:t>
                  </w:r>
                </w:p>
              </w:tc>
              <w:tc>
                <w:tcPr>
                  <w:tcW w:w="2612" w:type="dxa"/>
                  <w:tcBorders>
                    <w:tl2br w:val="nil"/>
                    <w:tr2bl w:val="nil"/>
                  </w:tcBorders>
                  <w:vAlign w:val="center"/>
                </w:tcPr>
                <w:p>
                  <w:pPr>
                    <w:adjustRightInd w:val="0"/>
                    <w:snapToGrid w:val="0"/>
                    <w:jc w:val="center"/>
                    <w:rPr>
                      <w:b/>
                      <w:bCs/>
                      <w:szCs w:val="21"/>
                    </w:rPr>
                  </w:pPr>
                  <w:r>
                    <w:rPr>
                      <w:rFonts w:hint="eastAsia"/>
                      <w:b/>
                      <w:bCs/>
                      <w:szCs w:val="21"/>
                    </w:rPr>
                    <w:t>产品名称</w:t>
                  </w:r>
                </w:p>
              </w:tc>
              <w:tc>
                <w:tcPr>
                  <w:tcW w:w="974" w:type="dxa"/>
                  <w:tcBorders>
                    <w:tl2br w:val="nil"/>
                    <w:tr2bl w:val="nil"/>
                  </w:tcBorders>
                  <w:vAlign w:val="center"/>
                </w:tcPr>
                <w:p>
                  <w:pPr>
                    <w:adjustRightInd w:val="0"/>
                    <w:snapToGrid w:val="0"/>
                    <w:jc w:val="center"/>
                    <w:rPr>
                      <w:b/>
                      <w:bCs/>
                      <w:szCs w:val="21"/>
                    </w:rPr>
                  </w:pPr>
                  <w:r>
                    <w:rPr>
                      <w:rFonts w:hint="eastAsia"/>
                      <w:b/>
                      <w:bCs/>
                      <w:szCs w:val="21"/>
                    </w:rPr>
                    <w:t>规格</w:t>
                  </w:r>
                </w:p>
              </w:tc>
              <w:tc>
                <w:tcPr>
                  <w:tcW w:w="2139" w:type="dxa"/>
                  <w:tcBorders>
                    <w:tl2br w:val="nil"/>
                    <w:tr2bl w:val="nil"/>
                  </w:tcBorders>
                  <w:vAlign w:val="center"/>
                </w:tcPr>
                <w:p>
                  <w:pPr>
                    <w:adjustRightInd w:val="0"/>
                    <w:snapToGrid w:val="0"/>
                    <w:jc w:val="center"/>
                    <w:rPr>
                      <w:b/>
                      <w:bCs/>
                      <w:szCs w:val="21"/>
                    </w:rPr>
                  </w:pPr>
                  <w:r>
                    <w:rPr>
                      <w:rFonts w:hint="eastAsia"/>
                      <w:b/>
                      <w:bCs/>
                      <w:szCs w:val="21"/>
                    </w:rPr>
                    <w:t>设计能力（万套/年）</w:t>
                  </w:r>
                </w:p>
              </w:tc>
              <w:tc>
                <w:tcPr>
                  <w:tcW w:w="1447" w:type="dxa"/>
                  <w:tcBorders>
                    <w:tl2br w:val="nil"/>
                    <w:tr2bl w:val="nil"/>
                  </w:tcBorders>
                  <w:vAlign w:val="center"/>
                </w:tcPr>
                <w:p>
                  <w:pPr>
                    <w:adjustRightInd w:val="0"/>
                    <w:snapToGrid w:val="0"/>
                    <w:jc w:val="center"/>
                    <w:rPr>
                      <w:b/>
                      <w:bCs/>
                      <w:szCs w:val="21"/>
                    </w:rPr>
                  </w:pPr>
                  <w:r>
                    <w:rPr>
                      <w:rFonts w:hint="eastAsia"/>
                      <w:b/>
                      <w:bCs/>
                      <w:szCs w:val="21"/>
                    </w:rPr>
                    <w:t>年运行时数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4" w:type="dxa"/>
                  <w:tcBorders>
                    <w:tl2br w:val="nil"/>
                    <w:tr2bl w:val="nil"/>
                  </w:tcBorders>
                  <w:vAlign w:val="center"/>
                </w:tcPr>
                <w:p>
                  <w:pPr>
                    <w:adjustRightInd w:val="0"/>
                    <w:snapToGrid w:val="0"/>
                    <w:jc w:val="center"/>
                    <w:rPr>
                      <w:szCs w:val="21"/>
                    </w:rPr>
                  </w:pPr>
                  <w:r>
                    <w:rPr>
                      <w:szCs w:val="21"/>
                    </w:rPr>
                    <w:t>1</w:t>
                  </w:r>
                </w:p>
              </w:tc>
              <w:tc>
                <w:tcPr>
                  <w:tcW w:w="2612" w:type="dxa"/>
                  <w:tcBorders>
                    <w:tl2br w:val="nil"/>
                    <w:tr2bl w:val="nil"/>
                  </w:tcBorders>
                  <w:vAlign w:val="center"/>
                </w:tcPr>
                <w:p>
                  <w:pPr>
                    <w:pStyle w:val="16"/>
                    <w:adjustRightInd w:val="0"/>
                    <w:spacing w:before="0" w:after="0" w:line="240" w:lineRule="auto"/>
                    <w:ind w:right="0"/>
                    <w:jc w:val="center"/>
                    <w:rPr>
                      <w:sz w:val="21"/>
                      <w:szCs w:val="21"/>
                    </w:rPr>
                  </w:pPr>
                  <w:r>
                    <w:rPr>
                      <w:rFonts w:hint="eastAsia"/>
                      <w:sz w:val="21"/>
                      <w:szCs w:val="21"/>
                    </w:rPr>
                    <w:t>高端消防装备</w:t>
                  </w:r>
                </w:p>
              </w:tc>
              <w:tc>
                <w:tcPr>
                  <w:tcW w:w="974" w:type="dxa"/>
                  <w:tcBorders>
                    <w:tl2br w:val="nil"/>
                    <w:tr2bl w:val="nil"/>
                  </w:tcBorders>
                  <w:vAlign w:val="center"/>
                </w:tcPr>
                <w:p>
                  <w:pPr>
                    <w:pStyle w:val="16"/>
                    <w:adjustRightInd w:val="0"/>
                    <w:spacing w:before="0" w:after="0" w:line="240" w:lineRule="auto"/>
                    <w:ind w:right="0"/>
                    <w:jc w:val="center"/>
                    <w:rPr>
                      <w:sz w:val="21"/>
                      <w:szCs w:val="21"/>
                    </w:rPr>
                  </w:pPr>
                  <w:r>
                    <w:rPr>
                      <w:rFonts w:hint="eastAsia"/>
                      <w:sz w:val="21"/>
                      <w:szCs w:val="21"/>
                    </w:rPr>
                    <w:t>非标</w:t>
                  </w:r>
                </w:p>
              </w:tc>
              <w:tc>
                <w:tcPr>
                  <w:tcW w:w="2139" w:type="dxa"/>
                  <w:tcBorders>
                    <w:tl2br w:val="nil"/>
                    <w:tr2bl w:val="nil"/>
                  </w:tcBorders>
                  <w:vAlign w:val="center"/>
                </w:tcPr>
                <w:p>
                  <w:pPr>
                    <w:pStyle w:val="16"/>
                    <w:adjustRightInd w:val="0"/>
                    <w:spacing w:before="0" w:after="0" w:line="240" w:lineRule="auto"/>
                    <w:ind w:right="0"/>
                    <w:jc w:val="center"/>
                    <w:rPr>
                      <w:sz w:val="21"/>
                      <w:szCs w:val="21"/>
                    </w:rPr>
                  </w:pPr>
                  <w:r>
                    <w:rPr>
                      <w:rFonts w:hint="eastAsia"/>
                      <w:sz w:val="21"/>
                      <w:szCs w:val="21"/>
                    </w:rPr>
                    <w:t>200</w:t>
                  </w:r>
                </w:p>
              </w:tc>
              <w:tc>
                <w:tcPr>
                  <w:tcW w:w="1447" w:type="dxa"/>
                  <w:vMerge w:val="restart"/>
                  <w:tcBorders>
                    <w:tl2br w:val="nil"/>
                    <w:tr2bl w:val="nil"/>
                  </w:tcBorders>
                  <w:vAlign w:val="center"/>
                </w:tcPr>
                <w:p>
                  <w:pPr>
                    <w:adjustRightInd w:val="0"/>
                    <w:snapToGrid w:val="0"/>
                    <w:jc w:val="center"/>
                    <w:rPr>
                      <w:szCs w:val="21"/>
                    </w:rPr>
                  </w:pPr>
                  <w:r>
                    <w:rPr>
                      <w:szCs w:val="21"/>
                    </w:rPr>
                    <w:t>2400h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4" w:type="dxa"/>
                  <w:tcBorders>
                    <w:tl2br w:val="nil"/>
                    <w:tr2bl w:val="nil"/>
                  </w:tcBorders>
                  <w:vAlign w:val="center"/>
                </w:tcPr>
                <w:p>
                  <w:pPr>
                    <w:adjustRightInd w:val="0"/>
                    <w:snapToGrid w:val="0"/>
                    <w:jc w:val="center"/>
                    <w:rPr>
                      <w:szCs w:val="21"/>
                    </w:rPr>
                  </w:pPr>
                  <w:r>
                    <w:rPr>
                      <w:rFonts w:hint="eastAsia"/>
                      <w:szCs w:val="21"/>
                    </w:rPr>
                    <w:t>2</w:t>
                  </w:r>
                </w:p>
              </w:tc>
              <w:tc>
                <w:tcPr>
                  <w:tcW w:w="2612" w:type="dxa"/>
                  <w:tcBorders>
                    <w:tl2br w:val="nil"/>
                    <w:tr2bl w:val="nil"/>
                  </w:tcBorders>
                  <w:vAlign w:val="center"/>
                </w:tcPr>
                <w:p>
                  <w:pPr>
                    <w:pStyle w:val="16"/>
                    <w:adjustRightInd w:val="0"/>
                    <w:spacing w:before="0" w:after="0" w:line="240" w:lineRule="auto"/>
                    <w:ind w:right="0"/>
                    <w:jc w:val="center"/>
                    <w:rPr>
                      <w:sz w:val="21"/>
                      <w:szCs w:val="21"/>
                    </w:rPr>
                  </w:pPr>
                  <w:r>
                    <w:rPr>
                      <w:rFonts w:hint="eastAsia"/>
                      <w:sz w:val="21"/>
                      <w:szCs w:val="21"/>
                    </w:rPr>
                    <w:t>消防水枪、接口及其组件</w:t>
                  </w:r>
                </w:p>
              </w:tc>
              <w:tc>
                <w:tcPr>
                  <w:tcW w:w="974" w:type="dxa"/>
                  <w:tcBorders>
                    <w:tl2br w:val="nil"/>
                    <w:tr2bl w:val="nil"/>
                  </w:tcBorders>
                  <w:vAlign w:val="center"/>
                </w:tcPr>
                <w:p>
                  <w:pPr>
                    <w:pStyle w:val="16"/>
                    <w:adjustRightInd w:val="0"/>
                    <w:spacing w:before="0" w:after="0" w:line="240" w:lineRule="auto"/>
                    <w:ind w:right="0"/>
                    <w:jc w:val="center"/>
                    <w:rPr>
                      <w:sz w:val="21"/>
                      <w:szCs w:val="21"/>
                    </w:rPr>
                  </w:pPr>
                  <w:r>
                    <w:rPr>
                      <w:rFonts w:hint="eastAsia"/>
                      <w:sz w:val="21"/>
                      <w:szCs w:val="21"/>
                    </w:rPr>
                    <w:t>非标</w:t>
                  </w:r>
                </w:p>
              </w:tc>
              <w:tc>
                <w:tcPr>
                  <w:tcW w:w="2139" w:type="dxa"/>
                  <w:tcBorders>
                    <w:tl2br w:val="nil"/>
                    <w:tr2bl w:val="nil"/>
                  </w:tcBorders>
                  <w:vAlign w:val="center"/>
                </w:tcPr>
                <w:p>
                  <w:pPr>
                    <w:pStyle w:val="16"/>
                    <w:adjustRightInd w:val="0"/>
                    <w:spacing w:before="0" w:after="0" w:line="240" w:lineRule="auto"/>
                    <w:ind w:right="0"/>
                    <w:jc w:val="center"/>
                    <w:rPr>
                      <w:sz w:val="21"/>
                      <w:szCs w:val="21"/>
                    </w:rPr>
                  </w:pPr>
                  <w:r>
                    <w:rPr>
                      <w:rFonts w:hint="eastAsia"/>
                      <w:sz w:val="21"/>
                      <w:szCs w:val="21"/>
                    </w:rPr>
                    <w:t>60</w:t>
                  </w:r>
                </w:p>
              </w:tc>
              <w:tc>
                <w:tcPr>
                  <w:tcW w:w="1447" w:type="dxa"/>
                  <w:vMerge w:val="continue"/>
                  <w:tcBorders>
                    <w:tl2br w:val="nil"/>
                    <w:tr2bl w:val="nil"/>
                  </w:tcBorders>
                  <w:vAlign w:val="center"/>
                </w:tcPr>
                <w:p>
                  <w:pPr>
                    <w:adjustRightInd w:val="0"/>
                    <w:snapToGrid w:val="0"/>
                    <w:jc w:val="center"/>
                    <w:rPr>
                      <w:szCs w:val="21"/>
                    </w:rPr>
                  </w:pPr>
                </w:p>
              </w:tc>
            </w:tr>
          </w:tbl>
          <w:p>
            <w:pPr>
              <w:spacing w:line="500" w:lineRule="exact"/>
              <w:ind w:firstLine="482" w:firstLineChars="200"/>
              <w:jc w:val="left"/>
              <w:rPr>
                <w:b/>
                <w:bCs/>
                <w:sz w:val="24"/>
              </w:rPr>
            </w:pPr>
            <w:r>
              <w:rPr>
                <w:rFonts w:hint="eastAsia"/>
                <w:b/>
                <w:bCs/>
                <w:sz w:val="24"/>
              </w:rPr>
              <w:t>4、建设内容</w:t>
            </w:r>
          </w:p>
          <w:p>
            <w:pPr>
              <w:spacing w:line="500" w:lineRule="exact"/>
              <w:ind w:firstLine="480" w:firstLineChars="200"/>
              <w:jc w:val="left"/>
              <w:rPr>
                <w:sz w:val="24"/>
              </w:rPr>
            </w:pPr>
            <w:r>
              <w:rPr>
                <w:rFonts w:hint="eastAsia"/>
                <w:sz w:val="24"/>
              </w:rPr>
              <w:t>本项目主体及公辅工程见表2-2。</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szCs w:val="21"/>
              </w:rPr>
            </w:pPr>
            <w:r>
              <w:rPr>
                <w:rFonts w:hint="eastAsia"/>
                <w:b/>
                <w:szCs w:val="21"/>
              </w:rPr>
              <w:t>表2-2主体及公辅工程</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1074"/>
              <w:gridCol w:w="1393"/>
              <w:gridCol w:w="2117"/>
              <w:gridCol w:w="2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Align w:val="center"/>
                </w:tcPr>
                <w:p>
                  <w:pPr>
                    <w:pStyle w:val="62"/>
                    <w:jc w:val="center"/>
                    <w:rPr>
                      <w:rFonts w:hint="default" w:ascii="Times New Roman" w:hAnsi="Times New Roman" w:eastAsia="宋体" w:cs="Times New Roman"/>
                      <w:b/>
                      <w:bCs/>
                      <w:color w:val="FF0000"/>
                      <w:kern w:val="2"/>
                      <w:sz w:val="21"/>
                      <w:szCs w:val="21"/>
                    </w:rPr>
                  </w:pPr>
                  <w:r>
                    <w:rPr>
                      <w:rFonts w:hint="default" w:ascii="Times New Roman" w:hAnsi="Times New Roman" w:eastAsia="宋体" w:cs="Times New Roman"/>
                      <w:b/>
                      <w:bCs/>
                      <w:color w:val="FF0000"/>
                      <w:kern w:val="2"/>
                      <w:sz w:val="21"/>
                      <w:szCs w:val="21"/>
                    </w:rPr>
                    <w:t>类别</w:t>
                  </w:r>
                </w:p>
              </w:tc>
              <w:tc>
                <w:tcPr>
                  <w:tcW w:w="2324" w:type="dxa"/>
                  <w:gridSpan w:val="2"/>
                  <w:vAlign w:val="center"/>
                </w:tcPr>
                <w:p>
                  <w:pPr>
                    <w:jc w:val="center"/>
                    <w:rPr>
                      <w:rFonts w:hint="default" w:ascii="Times New Roman" w:hAnsi="Times New Roman" w:cs="Times New Roman"/>
                      <w:b/>
                      <w:bCs/>
                      <w:color w:val="FF0000"/>
                      <w:szCs w:val="21"/>
                    </w:rPr>
                  </w:pPr>
                  <w:r>
                    <w:rPr>
                      <w:rFonts w:hint="default" w:ascii="Times New Roman" w:hAnsi="Times New Roman" w:cs="Times New Roman"/>
                      <w:b/>
                      <w:bCs/>
                      <w:color w:val="FF0000"/>
                      <w:szCs w:val="21"/>
                    </w:rPr>
                    <w:t>建设名称</w:t>
                  </w:r>
                </w:p>
              </w:tc>
              <w:tc>
                <w:tcPr>
                  <w:tcW w:w="1994" w:type="dxa"/>
                  <w:vAlign w:val="center"/>
                </w:tcPr>
                <w:p>
                  <w:pPr>
                    <w:pStyle w:val="62"/>
                    <w:jc w:val="center"/>
                    <w:rPr>
                      <w:rFonts w:hint="default" w:ascii="Times New Roman" w:hAnsi="Times New Roman" w:eastAsia="宋体" w:cs="Times New Roman"/>
                      <w:b/>
                      <w:bCs/>
                      <w:color w:val="FF0000"/>
                      <w:kern w:val="2"/>
                      <w:sz w:val="21"/>
                      <w:szCs w:val="21"/>
                    </w:rPr>
                  </w:pPr>
                  <w:r>
                    <w:rPr>
                      <w:rFonts w:hint="default" w:ascii="Times New Roman" w:hAnsi="Times New Roman" w:eastAsia="宋体" w:cs="Times New Roman"/>
                      <w:b/>
                      <w:bCs/>
                      <w:color w:val="FF0000"/>
                      <w:kern w:val="2"/>
                      <w:sz w:val="21"/>
                      <w:szCs w:val="21"/>
                    </w:rPr>
                    <w:t>设计能力</w:t>
                  </w:r>
                </w:p>
              </w:tc>
              <w:tc>
                <w:tcPr>
                  <w:tcW w:w="2729" w:type="dxa"/>
                  <w:vAlign w:val="center"/>
                </w:tcPr>
                <w:p>
                  <w:pPr>
                    <w:pStyle w:val="62"/>
                    <w:jc w:val="center"/>
                    <w:rPr>
                      <w:rFonts w:hint="default" w:ascii="Times New Roman" w:hAnsi="Times New Roman" w:eastAsia="宋体" w:cs="Times New Roman"/>
                      <w:b/>
                      <w:bCs/>
                      <w:color w:val="FF0000"/>
                      <w:kern w:val="2"/>
                      <w:sz w:val="21"/>
                      <w:szCs w:val="21"/>
                    </w:rPr>
                  </w:pPr>
                  <w:r>
                    <w:rPr>
                      <w:rFonts w:hint="default" w:ascii="Times New Roman" w:hAnsi="Times New Roman" w:eastAsia="宋体" w:cs="Times New Roman"/>
                      <w:b/>
                      <w:bCs/>
                      <w:color w:val="FF0000"/>
                      <w:kern w:val="2"/>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restart"/>
                  <w:vAlign w:val="center"/>
                </w:tcPr>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主体工程</w:t>
                  </w:r>
                </w:p>
              </w:tc>
              <w:tc>
                <w:tcPr>
                  <w:tcW w:w="2324" w:type="dxa"/>
                  <w:gridSpan w:val="2"/>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厂房一</w:t>
                  </w:r>
                </w:p>
              </w:tc>
              <w:tc>
                <w:tcPr>
                  <w:tcW w:w="1994"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lang w:val="en-US" w:eastAsia="zh-CN"/>
                    </w:rPr>
                    <w:t>建筑</w:t>
                  </w:r>
                  <w:r>
                    <w:rPr>
                      <w:rFonts w:hint="default" w:ascii="Times New Roman" w:hAnsi="Times New Roman" w:cs="Times New Roman"/>
                      <w:color w:val="FF0000"/>
                      <w:szCs w:val="21"/>
                    </w:rPr>
                    <w:t>面积为</w:t>
                  </w:r>
                  <w:r>
                    <w:rPr>
                      <w:rFonts w:hint="eastAsia" w:cs="Times New Roman"/>
                      <w:color w:val="FF0000"/>
                      <w:szCs w:val="21"/>
                      <w:lang w:val="en-US" w:eastAsia="zh-CN"/>
                    </w:rPr>
                    <w:t>6</w:t>
                  </w:r>
                  <w:r>
                    <w:rPr>
                      <w:rFonts w:hint="default" w:ascii="Times New Roman" w:hAnsi="Times New Roman" w:cs="Times New Roman"/>
                      <w:color w:val="FF0000"/>
                      <w:szCs w:val="21"/>
                    </w:rPr>
                    <w:t>000m</w:t>
                  </w:r>
                  <w:r>
                    <w:rPr>
                      <w:rFonts w:hint="default" w:ascii="Times New Roman" w:hAnsi="Times New Roman" w:cs="Times New Roman"/>
                      <w:color w:val="FF0000"/>
                      <w:szCs w:val="21"/>
                      <w:vertAlign w:val="superscript"/>
                    </w:rPr>
                    <w:t>2</w:t>
                  </w:r>
                </w:p>
              </w:tc>
              <w:tc>
                <w:tcPr>
                  <w:tcW w:w="2729" w:type="dxa"/>
                  <w:vAlign w:val="center"/>
                </w:tcPr>
                <w:p>
                  <w:pPr>
                    <w:jc w:val="center"/>
                    <w:rPr>
                      <w:rFonts w:hint="default" w:ascii="Times New Roman" w:hAnsi="Times New Roman" w:eastAsia="宋体" w:cs="Times New Roman"/>
                      <w:color w:val="FF0000"/>
                      <w:szCs w:val="21"/>
                      <w:lang w:val="en-US" w:eastAsia="zh-CN"/>
                    </w:rPr>
                  </w:pPr>
                  <w:r>
                    <w:rPr>
                      <w:rFonts w:hint="default" w:ascii="Times New Roman" w:hAnsi="Times New Roman" w:cs="Times New Roman"/>
                      <w:color w:val="FF0000"/>
                      <w:szCs w:val="21"/>
                      <w:lang w:val="en-US" w:eastAsia="zh-CN"/>
                    </w:rPr>
                    <w:t>厂房一</w:t>
                  </w:r>
                  <w:r>
                    <w:rPr>
                      <w:rFonts w:hint="eastAsia" w:cs="Times New Roman"/>
                      <w:color w:val="FF0000"/>
                      <w:szCs w:val="21"/>
                      <w:lang w:val="en-US" w:eastAsia="zh-CN"/>
                    </w:rPr>
                    <w:t>东侧为成品区、西侧为一般固废库和危废仓库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2324" w:type="dxa"/>
                  <w:gridSpan w:val="2"/>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厂房二</w:t>
                  </w:r>
                </w:p>
              </w:tc>
              <w:tc>
                <w:tcPr>
                  <w:tcW w:w="1994"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lang w:val="en-US" w:eastAsia="zh-CN"/>
                    </w:rPr>
                    <w:t>建筑</w:t>
                  </w:r>
                  <w:r>
                    <w:rPr>
                      <w:rFonts w:hint="default" w:ascii="Times New Roman" w:hAnsi="Times New Roman" w:cs="Times New Roman"/>
                      <w:color w:val="FF0000"/>
                      <w:szCs w:val="21"/>
                    </w:rPr>
                    <w:t>面积为6000m</w:t>
                  </w:r>
                  <w:r>
                    <w:rPr>
                      <w:rFonts w:hint="default" w:ascii="Times New Roman" w:hAnsi="Times New Roman" w:cs="Times New Roman"/>
                      <w:color w:val="FF0000"/>
                      <w:szCs w:val="21"/>
                      <w:vertAlign w:val="superscript"/>
                    </w:rPr>
                    <w:t>2</w:t>
                  </w:r>
                </w:p>
              </w:tc>
              <w:tc>
                <w:tcPr>
                  <w:tcW w:w="2729" w:type="dxa"/>
                  <w:vAlign w:val="center"/>
                </w:tcPr>
                <w:p>
                  <w:pPr>
                    <w:jc w:val="center"/>
                    <w:rPr>
                      <w:rFonts w:hint="default" w:ascii="Times New Roman" w:hAnsi="Times New Roman" w:cs="Times New Roman"/>
                      <w:color w:val="FF0000"/>
                      <w:szCs w:val="21"/>
                    </w:rPr>
                  </w:pPr>
                  <w:r>
                    <w:rPr>
                      <w:rFonts w:hint="eastAsia" w:cs="Times New Roman"/>
                      <w:color w:val="FF0000"/>
                      <w:szCs w:val="21"/>
                      <w:lang w:val="en-US" w:eastAsia="zh-CN"/>
                    </w:rPr>
                    <w:t>厂房二东侧为抛丸区、西侧为喷塑区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2324" w:type="dxa"/>
                  <w:gridSpan w:val="2"/>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厂房三</w:t>
                  </w:r>
                </w:p>
              </w:tc>
              <w:tc>
                <w:tcPr>
                  <w:tcW w:w="1994"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lang w:val="en-US" w:eastAsia="zh-CN"/>
                    </w:rPr>
                    <w:t>建筑</w:t>
                  </w:r>
                  <w:r>
                    <w:rPr>
                      <w:rFonts w:hint="default" w:ascii="Times New Roman" w:hAnsi="Times New Roman" w:cs="Times New Roman"/>
                      <w:color w:val="FF0000"/>
                      <w:szCs w:val="21"/>
                    </w:rPr>
                    <w:t>面积为</w:t>
                  </w:r>
                  <w:r>
                    <w:rPr>
                      <w:rFonts w:hint="eastAsia" w:cs="Times New Roman"/>
                      <w:color w:val="FF0000"/>
                      <w:szCs w:val="21"/>
                      <w:lang w:val="en-US" w:eastAsia="zh-CN"/>
                    </w:rPr>
                    <w:t>3</w:t>
                  </w:r>
                  <w:r>
                    <w:rPr>
                      <w:rFonts w:hint="default" w:ascii="Times New Roman" w:hAnsi="Times New Roman" w:cs="Times New Roman"/>
                      <w:color w:val="FF0000"/>
                      <w:szCs w:val="21"/>
                    </w:rPr>
                    <w:t>000m</w:t>
                  </w:r>
                  <w:r>
                    <w:rPr>
                      <w:rFonts w:hint="default" w:ascii="Times New Roman" w:hAnsi="Times New Roman" w:cs="Times New Roman"/>
                      <w:color w:val="FF0000"/>
                      <w:szCs w:val="21"/>
                      <w:vertAlign w:val="superscript"/>
                    </w:rPr>
                    <w:t>2</w:t>
                  </w:r>
                </w:p>
              </w:tc>
              <w:tc>
                <w:tcPr>
                  <w:tcW w:w="2729"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lang w:val="en-US" w:eastAsia="zh-CN"/>
                    </w:rPr>
                    <w:t>厂房</w:t>
                  </w:r>
                  <w:r>
                    <w:rPr>
                      <w:rFonts w:hint="eastAsia" w:ascii="Times New Roman" w:hAnsi="Times New Roman" w:cs="Times New Roman"/>
                      <w:color w:val="FF0000"/>
                      <w:szCs w:val="21"/>
                      <w:lang w:val="en-US" w:eastAsia="zh-CN"/>
                    </w:rPr>
                    <w:t>三</w:t>
                  </w:r>
                  <w:r>
                    <w:rPr>
                      <w:rFonts w:hint="default" w:ascii="Times New Roman" w:hAnsi="Times New Roman" w:cs="Times New Roman"/>
                      <w:color w:val="FF0000"/>
                      <w:szCs w:val="21"/>
                      <w:lang w:val="en-US" w:eastAsia="zh-CN"/>
                    </w:rPr>
                    <w:t>为压铸车间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2324" w:type="dxa"/>
                  <w:gridSpan w:val="2"/>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厂房四</w:t>
                  </w:r>
                </w:p>
              </w:tc>
              <w:tc>
                <w:tcPr>
                  <w:tcW w:w="1994"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lang w:val="en-US" w:eastAsia="zh-CN"/>
                    </w:rPr>
                    <w:t>建筑</w:t>
                  </w:r>
                  <w:r>
                    <w:rPr>
                      <w:rFonts w:hint="default" w:ascii="Times New Roman" w:hAnsi="Times New Roman" w:cs="Times New Roman"/>
                      <w:color w:val="FF0000"/>
                      <w:szCs w:val="21"/>
                    </w:rPr>
                    <w:t>面积为15000m</w:t>
                  </w:r>
                  <w:r>
                    <w:rPr>
                      <w:rFonts w:hint="default" w:ascii="Times New Roman" w:hAnsi="Times New Roman" w:cs="Times New Roman"/>
                      <w:color w:val="FF0000"/>
                      <w:szCs w:val="21"/>
                      <w:vertAlign w:val="superscript"/>
                    </w:rPr>
                    <w:t>2</w:t>
                  </w:r>
                </w:p>
              </w:tc>
              <w:tc>
                <w:tcPr>
                  <w:tcW w:w="2729" w:type="dxa"/>
                  <w:vAlign w:val="center"/>
                </w:tcPr>
                <w:p>
                  <w:pPr>
                    <w:jc w:val="center"/>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厂房四南侧为机械加工区、北侧为热粘区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2324" w:type="dxa"/>
                  <w:gridSpan w:val="2"/>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厂房五</w:t>
                  </w:r>
                </w:p>
              </w:tc>
              <w:tc>
                <w:tcPr>
                  <w:tcW w:w="1994"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lang w:val="en-US" w:eastAsia="zh-CN"/>
                    </w:rPr>
                    <w:t>建筑</w:t>
                  </w:r>
                  <w:r>
                    <w:rPr>
                      <w:rFonts w:hint="default" w:ascii="Times New Roman" w:hAnsi="Times New Roman" w:cs="Times New Roman"/>
                      <w:color w:val="FF0000"/>
                      <w:szCs w:val="21"/>
                    </w:rPr>
                    <w:t>面积为15000m</w:t>
                  </w:r>
                  <w:r>
                    <w:rPr>
                      <w:rFonts w:hint="default" w:ascii="Times New Roman" w:hAnsi="Times New Roman" w:cs="Times New Roman"/>
                      <w:color w:val="FF0000"/>
                      <w:szCs w:val="21"/>
                      <w:vertAlign w:val="superscript"/>
                    </w:rPr>
                    <w:t>2</w:t>
                  </w:r>
                </w:p>
              </w:tc>
              <w:tc>
                <w:tcPr>
                  <w:tcW w:w="2729" w:type="dxa"/>
                  <w:vAlign w:val="center"/>
                </w:tcPr>
                <w:p>
                  <w:pPr>
                    <w:jc w:val="center"/>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厂房五为智慧车间生产线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2324" w:type="dxa"/>
                  <w:gridSpan w:val="2"/>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1#办公楼</w:t>
                  </w:r>
                </w:p>
              </w:tc>
              <w:tc>
                <w:tcPr>
                  <w:tcW w:w="1994"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lang w:val="en-US" w:eastAsia="zh-CN"/>
                    </w:rPr>
                    <w:t>建筑</w:t>
                  </w:r>
                  <w:r>
                    <w:rPr>
                      <w:rFonts w:hint="default" w:ascii="Times New Roman" w:hAnsi="Times New Roman" w:cs="Times New Roman"/>
                      <w:color w:val="FF0000"/>
                      <w:szCs w:val="21"/>
                    </w:rPr>
                    <w:t>面积为5000m</w:t>
                  </w:r>
                  <w:r>
                    <w:rPr>
                      <w:rFonts w:hint="default" w:ascii="Times New Roman" w:hAnsi="Times New Roman" w:cs="Times New Roman"/>
                      <w:color w:val="FF0000"/>
                      <w:szCs w:val="21"/>
                      <w:vertAlign w:val="superscript"/>
                    </w:rPr>
                    <w:t>2</w:t>
                  </w:r>
                </w:p>
              </w:tc>
              <w:tc>
                <w:tcPr>
                  <w:tcW w:w="2729" w:type="dxa"/>
                  <w:vAlign w:val="center"/>
                </w:tcPr>
                <w:p>
                  <w:pPr>
                    <w:jc w:val="center"/>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办公楼为5层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restart"/>
                  <w:vAlign w:val="center"/>
                </w:tcPr>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公用</w:t>
                  </w:r>
                </w:p>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工程</w:t>
                  </w:r>
                </w:p>
              </w:tc>
              <w:tc>
                <w:tcPr>
                  <w:tcW w:w="2324" w:type="dxa"/>
                  <w:gridSpan w:val="2"/>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给水系统</w:t>
                  </w:r>
                </w:p>
              </w:tc>
              <w:tc>
                <w:tcPr>
                  <w:tcW w:w="1994"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生活用水375m</w:t>
                  </w:r>
                  <w:r>
                    <w:rPr>
                      <w:rFonts w:hint="default" w:ascii="Times New Roman" w:hAnsi="Times New Roman" w:cs="Times New Roman"/>
                      <w:color w:val="FF0000"/>
                      <w:szCs w:val="21"/>
                      <w:vertAlign w:val="superscript"/>
                    </w:rPr>
                    <w:t>3</w:t>
                  </w:r>
                  <w:r>
                    <w:rPr>
                      <w:rFonts w:hint="default" w:ascii="Times New Roman" w:hAnsi="Times New Roman" w:cs="Times New Roman"/>
                      <w:color w:val="FF0000"/>
                      <w:szCs w:val="21"/>
                    </w:rPr>
                    <w:t>/a</w:t>
                  </w:r>
                </w:p>
              </w:tc>
              <w:tc>
                <w:tcPr>
                  <w:tcW w:w="2729"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依托市政供水管网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sz w:val="21"/>
                      <w:szCs w:val="21"/>
                    </w:rPr>
                  </w:pPr>
                </w:p>
              </w:tc>
              <w:tc>
                <w:tcPr>
                  <w:tcW w:w="2324" w:type="dxa"/>
                  <w:gridSpan w:val="2"/>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排水系统</w:t>
                  </w:r>
                </w:p>
              </w:tc>
              <w:tc>
                <w:tcPr>
                  <w:tcW w:w="1994"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雨污分流</w:t>
                  </w:r>
                </w:p>
              </w:tc>
              <w:tc>
                <w:tcPr>
                  <w:tcW w:w="2729"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依托租赁厂区市政污水管网及排口接入江苏港城污水处理有限公司集中处理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2324" w:type="dxa"/>
                  <w:gridSpan w:val="2"/>
                  <w:vAlign w:val="center"/>
                </w:tcPr>
                <w:p>
                  <w:pPr>
                    <w:pStyle w:val="62"/>
                    <w:jc w:val="center"/>
                    <w:rPr>
                      <w:rFonts w:hint="default" w:ascii="Times New Roman" w:hAnsi="Times New Roman" w:eastAsia="宋体" w:cs="Times New Roman"/>
                      <w:color w:val="FF0000"/>
                      <w:spacing w:val="-8"/>
                      <w:kern w:val="2"/>
                      <w:sz w:val="21"/>
                      <w:szCs w:val="21"/>
                    </w:rPr>
                  </w:pPr>
                  <w:r>
                    <w:rPr>
                      <w:rFonts w:hint="default" w:ascii="Times New Roman" w:hAnsi="Times New Roman" w:eastAsia="宋体" w:cs="Times New Roman"/>
                      <w:color w:val="FF0000"/>
                      <w:spacing w:val="-8"/>
                      <w:kern w:val="2"/>
                      <w:sz w:val="21"/>
                      <w:szCs w:val="21"/>
                    </w:rPr>
                    <w:t>供电系统</w:t>
                  </w:r>
                </w:p>
              </w:tc>
              <w:tc>
                <w:tcPr>
                  <w:tcW w:w="1994"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用电量5万度/年</w:t>
                  </w:r>
                </w:p>
              </w:tc>
              <w:tc>
                <w:tcPr>
                  <w:tcW w:w="2729"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利用厂区内已有配电房，由市政供电管网供电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restart"/>
                  <w:vAlign w:val="center"/>
                </w:tcPr>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环保</w:t>
                  </w:r>
                </w:p>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工程</w:t>
                  </w:r>
                </w:p>
              </w:tc>
              <w:tc>
                <w:tcPr>
                  <w:tcW w:w="1012" w:type="dxa"/>
                  <w:vAlign w:val="center"/>
                </w:tcPr>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废水处理工程</w:t>
                  </w:r>
                </w:p>
              </w:tc>
              <w:tc>
                <w:tcPr>
                  <w:tcW w:w="1312"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生活污水</w:t>
                  </w:r>
                </w:p>
              </w:tc>
              <w:tc>
                <w:tcPr>
                  <w:tcW w:w="1994" w:type="dxa"/>
                  <w:vAlign w:val="center"/>
                </w:tcPr>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化粪池</w:t>
                  </w:r>
                </w:p>
              </w:tc>
              <w:tc>
                <w:tcPr>
                  <w:tcW w:w="2729"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化粪池预处理后接管至江苏港城污水处理有限公司集中处理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012" w:type="dxa"/>
                  <w:vMerge w:val="restart"/>
                  <w:vAlign w:val="center"/>
                </w:tcPr>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废气处理工程</w:t>
                  </w:r>
                </w:p>
              </w:tc>
              <w:tc>
                <w:tcPr>
                  <w:tcW w:w="1312"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熔化废气</w:t>
                  </w:r>
                </w:p>
              </w:tc>
              <w:tc>
                <w:tcPr>
                  <w:tcW w:w="1994"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集气罩布袋除尘装置</w:t>
                  </w:r>
                  <w:r>
                    <w:rPr>
                      <w:rStyle w:val="40"/>
                      <w:rFonts w:hint="default" w:ascii="Times New Roman" w:hAnsi="Times New Roman" w:cs="Times New Roman"/>
                      <w:color w:val="FF0000"/>
                      <w:szCs w:val="21"/>
                    </w:rPr>
                    <w:t>，</w:t>
                  </w:r>
                  <w:r>
                    <w:rPr>
                      <w:rFonts w:hint="default" w:ascii="Times New Roman" w:hAnsi="Times New Roman" w:cs="Times New Roman"/>
                      <w:color w:val="FF0000"/>
                      <w:szCs w:val="21"/>
                    </w:rPr>
                    <w:t>装置风量10000m</w:t>
                  </w:r>
                  <w:r>
                    <w:rPr>
                      <w:rFonts w:hint="default" w:ascii="Times New Roman" w:hAnsi="Times New Roman" w:cs="Times New Roman"/>
                      <w:color w:val="FF0000"/>
                      <w:szCs w:val="21"/>
                      <w:vertAlign w:val="superscript"/>
                    </w:rPr>
                    <w:t>3</w:t>
                  </w:r>
                  <w:r>
                    <w:rPr>
                      <w:rFonts w:hint="default" w:ascii="Times New Roman" w:hAnsi="Times New Roman" w:cs="Times New Roman"/>
                      <w:color w:val="FF0000"/>
                      <w:szCs w:val="21"/>
                    </w:rPr>
                    <w:t>/h</w:t>
                  </w:r>
                </w:p>
              </w:tc>
              <w:tc>
                <w:tcPr>
                  <w:tcW w:w="2729"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15m高的DA001排气筒排放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012"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312"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压铸废气</w:t>
                  </w:r>
                </w:p>
              </w:tc>
              <w:tc>
                <w:tcPr>
                  <w:tcW w:w="1994"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集气罩+二级活性炭吸附装置</w:t>
                  </w:r>
                  <w:r>
                    <w:rPr>
                      <w:rStyle w:val="40"/>
                      <w:rFonts w:hint="default" w:ascii="Times New Roman" w:hAnsi="Times New Roman" w:cs="Times New Roman"/>
                      <w:color w:val="FF0000"/>
                      <w:szCs w:val="21"/>
                    </w:rPr>
                    <w:t>，</w:t>
                  </w:r>
                  <w:r>
                    <w:rPr>
                      <w:rFonts w:hint="default" w:ascii="Times New Roman" w:hAnsi="Times New Roman" w:cs="Times New Roman"/>
                      <w:color w:val="FF0000"/>
                      <w:szCs w:val="21"/>
                    </w:rPr>
                    <w:t>装置风量10000m</w:t>
                  </w:r>
                  <w:r>
                    <w:rPr>
                      <w:rFonts w:hint="default" w:ascii="Times New Roman" w:hAnsi="Times New Roman" w:cs="Times New Roman"/>
                      <w:color w:val="FF0000"/>
                      <w:szCs w:val="21"/>
                      <w:vertAlign w:val="superscript"/>
                    </w:rPr>
                    <w:t>3</w:t>
                  </w:r>
                  <w:r>
                    <w:rPr>
                      <w:rFonts w:hint="default" w:ascii="Times New Roman" w:hAnsi="Times New Roman" w:cs="Times New Roman"/>
                      <w:color w:val="FF0000"/>
                      <w:szCs w:val="21"/>
                    </w:rPr>
                    <w:t>/h</w:t>
                  </w:r>
                </w:p>
              </w:tc>
              <w:tc>
                <w:tcPr>
                  <w:tcW w:w="2729"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15m高的DA002排气筒排放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012"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312"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抛丸废气</w:t>
                  </w:r>
                </w:p>
              </w:tc>
              <w:tc>
                <w:tcPr>
                  <w:tcW w:w="1994"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布袋除尘装置，装置风量10000m</w:t>
                  </w:r>
                  <w:r>
                    <w:rPr>
                      <w:rFonts w:hint="default" w:ascii="Times New Roman" w:hAnsi="Times New Roman" w:cs="Times New Roman"/>
                      <w:color w:val="FF0000"/>
                      <w:szCs w:val="21"/>
                      <w:vertAlign w:val="superscript"/>
                    </w:rPr>
                    <w:t>3</w:t>
                  </w:r>
                  <w:r>
                    <w:rPr>
                      <w:rFonts w:hint="default" w:ascii="Times New Roman" w:hAnsi="Times New Roman" w:cs="Times New Roman"/>
                      <w:color w:val="FF0000"/>
                      <w:szCs w:val="21"/>
                    </w:rPr>
                    <w:t>/h</w:t>
                  </w:r>
                </w:p>
              </w:tc>
              <w:tc>
                <w:tcPr>
                  <w:tcW w:w="2729"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15m高的DA003排气筒排放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012"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312"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喷塑、固化废气</w:t>
                  </w:r>
                </w:p>
              </w:tc>
              <w:tc>
                <w:tcPr>
                  <w:tcW w:w="1994"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喷塑废气经集气罩+玻璃纤维过滤装置、固化废气经集气罩+二级活性炭吸附装置处理后合并排放</w:t>
                  </w:r>
                  <w:r>
                    <w:rPr>
                      <w:rStyle w:val="40"/>
                      <w:rFonts w:hint="default" w:ascii="Times New Roman" w:hAnsi="Times New Roman" w:cs="Times New Roman"/>
                      <w:color w:val="FF0000"/>
                      <w:szCs w:val="21"/>
                    </w:rPr>
                    <w:t>，</w:t>
                  </w:r>
                  <w:r>
                    <w:rPr>
                      <w:rFonts w:hint="default" w:ascii="Times New Roman" w:hAnsi="Times New Roman" w:cs="Times New Roman"/>
                      <w:color w:val="FF0000"/>
                      <w:szCs w:val="21"/>
                    </w:rPr>
                    <w:t>装置风量共15000m</w:t>
                  </w:r>
                  <w:r>
                    <w:rPr>
                      <w:rFonts w:hint="default" w:ascii="Times New Roman" w:hAnsi="Times New Roman" w:cs="Times New Roman"/>
                      <w:color w:val="FF0000"/>
                      <w:szCs w:val="21"/>
                      <w:vertAlign w:val="superscript"/>
                    </w:rPr>
                    <w:t>3</w:t>
                  </w:r>
                  <w:r>
                    <w:rPr>
                      <w:rFonts w:hint="default" w:ascii="Times New Roman" w:hAnsi="Times New Roman" w:cs="Times New Roman"/>
                      <w:color w:val="FF0000"/>
                      <w:szCs w:val="21"/>
                    </w:rPr>
                    <w:t>/h</w:t>
                  </w:r>
                </w:p>
              </w:tc>
              <w:tc>
                <w:tcPr>
                  <w:tcW w:w="2729"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15m高的DA004排气筒排放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012"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312"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热粘废气</w:t>
                  </w:r>
                </w:p>
              </w:tc>
              <w:tc>
                <w:tcPr>
                  <w:tcW w:w="1994"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集气罩+二级活性炭装置，装置风量10000m</w:t>
                  </w:r>
                  <w:r>
                    <w:rPr>
                      <w:rFonts w:hint="default" w:ascii="Times New Roman" w:hAnsi="Times New Roman" w:cs="Times New Roman"/>
                      <w:color w:val="FF0000"/>
                      <w:szCs w:val="21"/>
                      <w:vertAlign w:val="superscript"/>
                    </w:rPr>
                    <w:t>3</w:t>
                  </w:r>
                  <w:r>
                    <w:rPr>
                      <w:rFonts w:hint="default" w:ascii="Times New Roman" w:hAnsi="Times New Roman" w:cs="Times New Roman"/>
                      <w:color w:val="FF0000"/>
                      <w:szCs w:val="21"/>
                    </w:rPr>
                    <w:t>/h</w:t>
                  </w:r>
                </w:p>
              </w:tc>
              <w:tc>
                <w:tcPr>
                  <w:tcW w:w="2729"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15m高的DA005排气筒排放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012"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312"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危废仓库废气</w:t>
                  </w:r>
                </w:p>
              </w:tc>
              <w:tc>
                <w:tcPr>
                  <w:tcW w:w="1994"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二级活性炭吸附装置，装置风量10000m</w:t>
                  </w:r>
                  <w:r>
                    <w:rPr>
                      <w:rFonts w:hint="default" w:ascii="Times New Roman" w:hAnsi="Times New Roman" w:cs="Times New Roman"/>
                      <w:color w:val="FF0000"/>
                      <w:szCs w:val="21"/>
                      <w:vertAlign w:val="superscript"/>
                    </w:rPr>
                    <w:t>3</w:t>
                  </w:r>
                  <w:r>
                    <w:rPr>
                      <w:rFonts w:hint="default" w:ascii="Times New Roman" w:hAnsi="Times New Roman" w:cs="Times New Roman"/>
                      <w:color w:val="FF0000"/>
                      <w:szCs w:val="21"/>
                    </w:rPr>
                    <w:t>/h</w:t>
                  </w:r>
                </w:p>
              </w:tc>
              <w:tc>
                <w:tcPr>
                  <w:tcW w:w="2729"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15m高的DA006排气筒排放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w:t>
                  </w:r>
                </w:p>
              </w:tc>
              <w:tc>
                <w:tcPr>
                  <w:tcW w:w="2324" w:type="dxa"/>
                  <w:gridSpan w:val="2"/>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噪声治理</w:t>
                  </w:r>
                </w:p>
              </w:tc>
              <w:tc>
                <w:tcPr>
                  <w:tcW w:w="1994"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建筑隔声、合理布局、距离衰减等</w:t>
                  </w:r>
                </w:p>
              </w:tc>
              <w:tc>
                <w:tcPr>
                  <w:tcW w:w="2729" w:type="dxa"/>
                  <w:vAlign w:val="center"/>
                </w:tcPr>
                <w:p>
                  <w:pPr>
                    <w:spacing w:line="300" w:lineRule="exact"/>
                    <w:jc w:val="center"/>
                    <w:rPr>
                      <w:rFonts w:hint="default" w:ascii="Times New Roman" w:hAnsi="Times New Roman" w:cs="Times New Roman"/>
                      <w:color w:val="FF0000"/>
                      <w:szCs w:val="21"/>
                    </w:rPr>
                  </w:pPr>
                  <w:r>
                    <w:rPr>
                      <w:rFonts w:hint="default" w:ascii="Times New Roman" w:hAnsi="Times New Roman" w:cs="Times New Roman"/>
                      <w:color w:val="FF0000"/>
                      <w:szCs w:val="21"/>
                    </w:rPr>
                    <w:t>厂界达标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012" w:type="dxa"/>
                  <w:vMerge w:val="restart"/>
                  <w:vAlign w:val="center"/>
                </w:tcPr>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固废</w:t>
                  </w:r>
                </w:p>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处置工程</w:t>
                  </w:r>
                </w:p>
              </w:tc>
              <w:tc>
                <w:tcPr>
                  <w:tcW w:w="1312"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一般固废仓库</w:t>
                  </w:r>
                </w:p>
              </w:tc>
              <w:tc>
                <w:tcPr>
                  <w:tcW w:w="1994" w:type="dxa"/>
                  <w:vAlign w:val="center"/>
                </w:tcPr>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占地面积16m</w:t>
                  </w:r>
                  <w:r>
                    <w:rPr>
                      <w:rFonts w:hint="default" w:ascii="Times New Roman" w:hAnsi="Times New Roman" w:eastAsia="宋体" w:cs="Times New Roman"/>
                      <w:color w:val="FF0000"/>
                      <w:kern w:val="2"/>
                      <w:sz w:val="21"/>
                      <w:szCs w:val="21"/>
                      <w:vertAlign w:val="superscript"/>
                    </w:rPr>
                    <w:t>2</w:t>
                  </w:r>
                </w:p>
              </w:tc>
              <w:tc>
                <w:tcPr>
                  <w:tcW w:w="2729"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位于车间东南侧，符合《</w:t>
                  </w:r>
                  <w:r>
                    <w:rPr>
                      <w:rFonts w:hint="default" w:ascii="Times New Roman" w:hAnsi="Times New Roman" w:cs="Times New Roman"/>
                      <w:color w:val="0000FF"/>
                      <w:szCs w:val="21"/>
                    </w:rPr>
                    <w:fldChar w:fldCharType="begin"/>
                  </w:r>
                  <w:r>
                    <w:rPr>
                      <w:rFonts w:hint="default" w:ascii="Times New Roman" w:hAnsi="Times New Roman" w:cs="Times New Roman"/>
                      <w:color w:val="0000FF"/>
                      <w:szCs w:val="21"/>
                    </w:rPr>
                    <w:instrText xml:space="preserve"> HYPERLINK "https://www.mee.gov.cn/ywgz/fgbz/bz/bzwb/gthw/gtfwwrkzbz/202012/W020201218695845325455.pdf" </w:instrText>
                  </w:r>
                  <w:r>
                    <w:rPr>
                      <w:rFonts w:hint="default" w:ascii="Times New Roman" w:hAnsi="Times New Roman" w:cs="Times New Roman"/>
                      <w:color w:val="0000FF"/>
                      <w:szCs w:val="21"/>
                    </w:rPr>
                    <w:fldChar w:fldCharType="separate"/>
                  </w:r>
                  <w:r>
                    <w:rPr>
                      <w:rFonts w:hint="default" w:ascii="Times New Roman" w:hAnsi="Times New Roman" w:cs="Times New Roman"/>
                      <w:color w:val="0000FF"/>
                      <w:szCs w:val="21"/>
                    </w:rPr>
                    <w:t>一般工业固体废物贮存和填埋污染控制标准</w:t>
                  </w:r>
                  <w:r>
                    <w:rPr>
                      <w:rFonts w:hint="default" w:ascii="Times New Roman" w:hAnsi="Times New Roman" w:cs="Times New Roman"/>
                      <w:color w:val="0000FF"/>
                      <w:szCs w:val="21"/>
                    </w:rPr>
                    <w:fldChar w:fldCharType="end"/>
                  </w:r>
                  <w:r>
                    <w:rPr>
                      <w:rFonts w:hint="default" w:ascii="Times New Roman" w:hAnsi="Times New Roman" w:cs="Times New Roman"/>
                      <w:color w:val="FF0000"/>
                      <w:szCs w:val="21"/>
                    </w:rPr>
                    <w:t>》（GB18599-2020）的要求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012"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312"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危废仓库</w:t>
                  </w:r>
                </w:p>
              </w:tc>
              <w:tc>
                <w:tcPr>
                  <w:tcW w:w="1994" w:type="dxa"/>
                  <w:vAlign w:val="center"/>
                </w:tcPr>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占地面积20m</w:t>
                  </w:r>
                  <w:r>
                    <w:rPr>
                      <w:rFonts w:hint="default" w:ascii="Times New Roman" w:hAnsi="Times New Roman" w:eastAsia="宋体" w:cs="Times New Roman"/>
                      <w:color w:val="FF0000"/>
                      <w:kern w:val="2"/>
                      <w:sz w:val="21"/>
                      <w:szCs w:val="21"/>
                      <w:vertAlign w:val="superscript"/>
                    </w:rPr>
                    <w:t>2</w:t>
                  </w:r>
                </w:p>
              </w:tc>
              <w:tc>
                <w:tcPr>
                  <w:tcW w:w="2729"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位于车间东南侧，符合《危险废物贮存污染控制标准》（GB18597-2023）的要求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9"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012" w:type="dxa"/>
                  <w:vMerge w:val="continue"/>
                  <w:vAlign w:val="center"/>
                </w:tcPr>
                <w:p>
                  <w:pPr>
                    <w:pStyle w:val="62"/>
                    <w:jc w:val="center"/>
                    <w:rPr>
                      <w:rFonts w:hint="default" w:ascii="Times New Roman" w:hAnsi="Times New Roman" w:eastAsia="宋体" w:cs="Times New Roman"/>
                      <w:color w:val="FF0000"/>
                      <w:kern w:val="2"/>
                      <w:sz w:val="21"/>
                      <w:szCs w:val="21"/>
                    </w:rPr>
                  </w:pPr>
                </w:p>
              </w:tc>
              <w:tc>
                <w:tcPr>
                  <w:tcW w:w="1312"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可回收垃圾暂存区</w:t>
                  </w:r>
                </w:p>
              </w:tc>
              <w:tc>
                <w:tcPr>
                  <w:tcW w:w="1994" w:type="dxa"/>
                  <w:vAlign w:val="center"/>
                </w:tcPr>
                <w:p>
                  <w:pPr>
                    <w:pStyle w:val="62"/>
                    <w:jc w:val="center"/>
                    <w:rPr>
                      <w:rFonts w:hint="default" w:ascii="Times New Roman" w:hAnsi="Times New Roman" w:eastAsia="宋体" w:cs="Times New Roman"/>
                      <w:color w:val="FF0000"/>
                      <w:kern w:val="2"/>
                      <w:sz w:val="21"/>
                      <w:szCs w:val="21"/>
                    </w:rPr>
                  </w:pPr>
                  <w:r>
                    <w:rPr>
                      <w:rFonts w:hint="default" w:ascii="Times New Roman" w:hAnsi="Times New Roman" w:eastAsia="宋体" w:cs="Times New Roman"/>
                      <w:color w:val="FF0000"/>
                      <w:kern w:val="2"/>
                      <w:sz w:val="21"/>
                      <w:szCs w:val="21"/>
                    </w:rPr>
                    <w:t>占地面积约15m</w:t>
                  </w:r>
                  <w:r>
                    <w:rPr>
                      <w:rFonts w:hint="default" w:ascii="Times New Roman" w:hAnsi="Times New Roman" w:eastAsia="宋体" w:cs="Times New Roman"/>
                      <w:color w:val="FF0000"/>
                      <w:kern w:val="2"/>
                      <w:sz w:val="21"/>
                      <w:szCs w:val="21"/>
                      <w:vertAlign w:val="superscript"/>
                    </w:rPr>
                    <w:t>2</w:t>
                  </w:r>
                </w:p>
              </w:tc>
              <w:tc>
                <w:tcPr>
                  <w:tcW w:w="2729" w:type="dxa"/>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w:t>
                  </w:r>
                </w:p>
              </w:tc>
            </w:tr>
          </w:tbl>
          <w:p>
            <w:pPr>
              <w:spacing w:line="500" w:lineRule="exact"/>
              <w:ind w:firstLine="482" w:firstLineChars="200"/>
              <w:rPr>
                <w:b/>
                <w:bCs/>
                <w:sz w:val="24"/>
              </w:rPr>
            </w:pPr>
            <w:r>
              <w:rPr>
                <w:rFonts w:hint="eastAsia"/>
                <w:b/>
                <w:bCs/>
                <w:sz w:val="24"/>
              </w:rPr>
              <w:t>5、</w:t>
            </w:r>
            <w:r>
              <w:rPr>
                <w:b/>
                <w:sz w:val="24"/>
              </w:rPr>
              <w:t>主要原辅材料（包括名称、用量）及主要设施规格、数量</w:t>
            </w:r>
          </w:p>
          <w:p>
            <w:pPr>
              <w:spacing w:line="500" w:lineRule="exact"/>
              <w:ind w:firstLine="480" w:firstLineChars="200"/>
              <w:jc w:val="left"/>
              <w:rPr>
                <w:b/>
                <w:bCs/>
                <w:sz w:val="24"/>
              </w:rPr>
            </w:pPr>
            <w:r>
              <w:rPr>
                <w:sz w:val="24"/>
              </w:rPr>
              <w:t>建设项目主要原辅料见表</w:t>
            </w:r>
            <w:r>
              <w:rPr>
                <w:rFonts w:eastAsia="Times New Roman"/>
                <w:sz w:val="24"/>
              </w:rPr>
              <w:t>2-3</w:t>
            </w:r>
            <w:r>
              <w:rPr>
                <w:sz w:val="24"/>
              </w:rPr>
              <w:t>，原辅材料理化特性见表</w:t>
            </w:r>
            <w:r>
              <w:rPr>
                <w:rFonts w:eastAsia="Times New Roman"/>
                <w:sz w:val="24"/>
              </w:rPr>
              <w:t>2-4</w:t>
            </w:r>
            <w:r>
              <w:rPr>
                <w:sz w:val="24"/>
              </w:rPr>
              <w:t>，本项目主要生产设备见表</w:t>
            </w:r>
            <w:r>
              <w:rPr>
                <w:rFonts w:eastAsia="Times New Roman"/>
                <w:sz w:val="24"/>
              </w:rPr>
              <w:t>2-5</w:t>
            </w:r>
            <w:r>
              <w:rPr>
                <w:sz w:val="24"/>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b/>
                <w:szCs w:val="21"/>
              </w:rPr>
            </w:pPr>
            <w:r>
              <w:rPr>
                <w:rFonts w:hint="eastAsia"/>
                <w:b/>
                <w:szCs w:val="21"/>
              </w:rPr>
              <w:t>表2-3项目主要原辅材料用量表</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9"/>
              <w:gridCol w:w="710"/>
              <w:gridCol w:w="522"/>
              <w:gridCol w:w="3710"/>
              <w:gridCol w:w="798"/>
              <w:gridCol w:w="1396"/>
              <w:gridCol w:w="8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Mar>
                    <w:left w:w="28" w:type="dxa"/>
                    <w:right w:w="28" w:type="dxa"/>
                  </w:tcMar>
                  <w:vAlign w:val="center"/>
                </w:tcPr>
                <w:p>
                  <w:pPr>
                    <w:widowControl/>
                    <w:jc w:val="center"/>
                    <w:textAlignment w:val="center"/>
                    <w:rPr>
                      <w:b/>
                      <w:bCs/>
                      <w:szCs w:val="21"/>
                    </w:rPr>
                  </w:pPr>
                  <w:r>
                    <w:rPr>
                      <w:rFonts w:hint="eastAsia"/>
                      <w:b/>
                      <w:bCs/>
                      <w:kern w:val="0"/>
                      <w:szCs w:val="21"/>
                      <w:lang w:bidi="ar"/>
                    </w:rPr>
                    <w:t>序号</w:t>
                  </w:r>
                </w:p>
              </w:tc>
              <w:tc>
                <w:tcPr>
                  <w:tcW w:w="0" w:type="auto"/>
                  <w:vAlign w:val="center"/>
                </w:tcPr>
                <w:p>
                  <w:pPr>
                    <w:widowControl/>
                    <w:jc w:val="center"/>
                    <w:textAlignment w:val="center"/>
                    <w:rPr>
                      <w:b/>
                      <w:bCs/>
                      <w:szCs w:val="21"/>
                    </w:rPr>
                  </w:pPr>
                  <w:r>
                    <w:rPr>
                      <w:b/>
                      <w:bCs/>
                      <w:kern w:val="0"/>
                      <w:szCs w:val="21"/>
                      <w:lang w:bidi="ar"/>
                    </w:rPr>
                    <w:t>名称</w:t>
                  </w:r>
                </w:p>
              </w:tc>
              <w:tc>
                <w:tcPr>
                  <w:tcW w:w="0" w:type="auto"/>
                  <w:vAlign w:val="center"/>
                </w:tcPr>
                <w:p>
                  <w:pPr>
                    <w:widowControl/>
                    <w:jc w:val="center"/>
                    <w:textAlignment w:val="center"/>
                    <w:rPr>
                      <w:b/>
                      <w:bCs/>
                      <w:kern w:val="0"/>
                      <w:szCs w:val="21"/>
                      <w:lang w:bidi="ar"/>
                    </w:rPr>
                  </w:pPr>
                  <w:r>
                    <w:rPr>
                      <w:b/>
                      <w:bCs/>
                      <w:kern w:val="0"/>
                      <w:szCs w:val="21"/>
                      <w:lang w:bidi="ar"/>
                    </w:rPr>
                    <w:t>性状</w:t>
                  </w:r>
                </w:p>
              </w:tc>
              <w:tc>
                <w:tcPr>
                  <w:tcW w:w="0" w:type="auto"/>
                  <w:vAlign w:val="center"/>
                </w:tcPr>
                <w:p>
                  <w:pPr>
                    <w:widowControl/>
                    <w:jc w:val="center"/>
                    <w:textAlignment w:val="center"/>
                    <w:rPr>
                      <w:b/>
                      <w:bCs/>
                      <w:szCs w:val="21"/>
                    </w:rPr>
                  </w:pPr>
                  <w:r>
                    <w:rPr>
                      <w:b/>
                      <w:bCs/>
                      <w:kern w:val="0"/>
                      <w:szCs w:val="21"/>
                      <w:lang w:bidi="ar"/>
                    </w:rPr>
                    <w:t>重要组分、规格</w:t>
                  </w:r>
                </w:p>
              </w:tc>
              <w:tc>
                <w:tcPr>
                  <w:tcW w:w="0" w:type="auto"/>
                  <w:vAlign w:val="center"/>
                </w:tcPr>
                <w:p>
                  <w:pPr>
                    <w:widowControl/>
                    <w:jc w:val="center"/>
                    <w:textAlignment w:val="center"/>
                    <w:rPr>
                      <w:b/>
                      <w:bCs/>
                      <w:szCs w:val="21"/>
                    </w:rPr>
                  </w:pPr>
                  <w:r>
                    <w:rPr>
                      <w:b/>
                      <w:bCs/>
                      <w:kern w:val="0"/>
                      <w:szCs w:val="21"/>
                      <w:lang w:bidi="ar"/>
                    </w:rPr>
                    <w:t>年消耗量</w:t>
                  </w:r>
                </w:p>
              </w:tc>
              <w:tc>
                <w:tcPr>
                  <w:tcW w:w="0" w:type="auto"/>
                  <w:vAlign w:val="center"/>
                </w:tcPr>
                <w:p>
                  <w:pPr>
                    <w:widowControl/>
                    <w:jc w:val="center"/>
                    <w:textAlignment w:val="center"/>
                    <w:rPr>
                      <w:b/>
                      <w:bCs/>
                      <w:szCs w:val="21"/>
                    </w:rPr>
                  </w:pPr>
                  <w:r>
                    <w:rPr>
                      <w:b/>
                      <w:bCs/>
                      <w:kern w:val="0"/>
                      <w:szCs w:val="21"/>
                      <w:lang w:bidi="ar"/>
                    </w:rPr>
                    <w:t>包装方式及最大仓储量</w:t>
                  </w:r>
                </w:p>
              </w:tc>
              <w:tc>
                <w:tcPr>
                  <w:tcW w:w="0" w:type="auto"/>
                  <w:vAlign w:val="center"/>
                </w:tcPr>
                <w:p>
                  <w:pPr>
                    <w:widowControl/>
                    <w:jc w:val="center"/>
                    <w:textAlignment w:val="center"/>
                    <w:rPr>
                      <w:b/>
                      <w:bCs/>
                      <w:szCs w:val="21"/>
                    </w:rPr>
                  </w:pPr>
                  <w:r>
                    <w:rPr>
                      <w:b/>
                      <w:bCs/>
                      <w:kern w:val="0"/>
                      <w:szCs w:val="21"/>
                      <w:lang w:bidi="ar"/>
                    </w:rPr>
                    <w:t>来源及运输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pPr>
                    <w:widowControl/>
                    <w:jc w:val="center"/>
                    <w:textAlignment w:val="center"/>
                    <w:rPr>
                      <w:szCs w:val="21"/>
                    </w:rPr>
                  </w:pPr>
                  <w:r>
                    <w:rPr>
                      <w:kern w:val="0"/>
                      <w:szCs w:val="21"/>
                      <w:lang w:bidi="ar"/>
                    </w:rPr>
                    <w:t>1</w:t>
                  </w:r>
                </w:p>
              </w:tc>
              <w:tc>
                <w:tcPr>
                  <w:tcW w:w="0" w:type="auto"/>
                  <w:vAlign w:val="center"/>
                </w:tcPr>
                <w:p>
                  <w:pPr>
                    <w:widowControl/>
                    <w:jc w:val="center"/>
                    <w:textAlignment w:val="center"/>
                    <w:rPr>
                      <w:szCs w:val="21"/>
                    </w:rPr>
                  </w:pPr>
                  <w:r>
                    <w:rPr>
                      <w:rFonts w:hint="eastAsia"/>
                      <w:szCs w:val="21"/>
                    </w:rPr>
                    <w:t>铝锭</w:t>
                  </w:r>
                </w:p>
              </w:tc>
              <w:tc>
                <w:tcPr>
                  <w:tcW w:w="0" w:type="auto"/>
                  <w:vAlign w:val="center"/>
                </w:tcPr>
                <w:p>
                  <w:pPr>
                    <w:widowControl/>
                    <w:jc w:val="center"/>
                    <w:textAlignment w:val="center"/>
                    <w:rPr>
                      <w:szCs w:val="21"/>
                    </w:rPr>
                  </w:pPr>
                  <w:r>
                    <w:rPr>
                      <w:rFonts w:hint="eastAsia"/>
                      <w:szCs w:val="21"/>
                    </w:rPr>
                    <w:t>固态</w:t>
                  </w:r>
                </w:p>
              </w:tc>
              <w:tc>
                <w:tcPr>
                  <w:tcW w:w="0" w:type="auto"/>
                  <w:vAlign w:val="center"/>
                </w:tcPr>
                <w:p>
                  <w:pPr>
                    <w:widowControl/>
                    <w:jc w:val="center"/>
                    <w:textAlignment w:val="center"/>
                    <w:rPr>
                      <w:szCs w:val="21"/>
                    </w:rPr>
                  </w:pPr>
                  <w:r>
                    <w:rPr>
                      <w:rFonts w:hint="eastAsia"/>
                      <w:szCs w:val="21"/>
                    </w:rPr>
                    <w:t>硅铝合金</w:t>
                  </w:r>
                </w:p>
              </w:tc>
              <w:tc>
                <w:tcPr>
                  <w:tcW w:w="0" w:type="auto"/>
                  <w:vAlign w:val="center"/>
                </w:tcPr>
                <w:p>
                  <w:pPr>
                    <w:widowControl/>
                    <w:jc w:val="center"/>
                    <w:textAlignment w:val="center"/>
                    <w:rPr>
                      <w:szCs w:val="21"/>
                    </w:rPr>
                  </w:pPr>
                  <w:r>
                    <w:rPr>
                      <w:rFonts w:hint="eastAsia"/>
                      <w:szCs w:val="21"/>
                    </w:rPr>
                    <w:t>400吨</w:t>
                  </w:r>
                </w:p>
              </w:tc>
              <w:tc>
                <w:tcPr>
                  <w:tcW w:w="0" w:type="auto"/>
                  <w:vAlign w:val="center"/>
                </w:tcPr>
                <w:p>
                  <w:pPr>
                    <w:widowControl/>
                    <w:jc w:val="center"/>
                    <w:textAlignment w:val="center"/>
                    <w:rPr>
                      <w:szCs w:val="21"/>
                    </w:rPr>
                  </w:pPr>
                  <w:r>
                    <w:rPr>
                      <w:rFonts w:hint="eastAsia"/>
                      <w:szCs w:val="21"/>
                    </w:rPr>
                    <w:t>散装、20吨</w:t>
                  </w:r>
                </w:p>
              </w:tc>
              <w:tc>
                <w:tcPr>
                  <w:tcW w:w="0" w:type="auto"/>
                  <w:vAlign w:val="center"/>
                </w:tcPr>
                <w:p>
                  <w:pPr>
                    <w:widowControl/>
                    <w:jc w:val="center"/>
                    <w:textAlignment w:val="center"/>
                    <w:rPr>
                      <w:szCs w:val="21"/>
                    </w:rPr>
                  </w:pPr>
                  <w:r>
                    <w:rPr>
                      <w:rFonts w:hint="eastAsia"/>
                      <w:kern w:val="0"/>
                      <w:szCs w:val="21"/>
                      <w:lang w:bidi="ar"/>
                    </w:rPr>
                    <w:t>外购/汽运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pPr>
                    <w:widowControl/>
                    <w:jc w:val="center"/>
                    <w:textAlignment w:val="center"/>
                    <w:rPr>
                      <w:color w:val="FF0000"/>
                      <w:szCs w:val="21"/>
                    </w:rPr>
                  </w:pPr>
                  <w:r>
                    <w:rPr>
                      <w:color w:val="FF0000"/>
                      <w:kern w:val="0"/>
                      <w:szCs w:val="21"/>
                      <w:lang w:bidi="ar"/>
                    </w:rPr>
                    <w:t>2</w:t>
                  </w:r>
                </w:p>
              </w:tc>
              <w:tc>
                <w:tcPr>
                  <w:tcW w:w="0" w:type="auto"/>
                  <w:vAlign w:val="center"/>
                </w:tcPr>
                <w:p>
                  <w:pPr>
                    <w:widowControl/>
                    <w:jc w:val="center"/>
                    <w:textAlignment w:val="center"/>
                    <w:rPr>
                      <w:color w:val="FF0000"/>
                      <w:szCs w:val="21"/>
                    </w:rPr>
                  </w:pPr>
                  <w:r>
                    <w:rPr>
                      <w:rFonts w:hint="eastAsia"/>
                      <w:color w:val="FF0000"/>
                      <w:szCs w:val="21"/>
                    </w:rPr>
                    <w:t>脱模剂</w:t>
                  </w:r>
                </w:p>
              </w:tc>
              <w:tc>
                <w:tcPr>
                  <w:tcW w:w="0" w:type="auto"/>
                  <w:vAlign w:val="center"/>
                </w:tcPr>
                <w:p>
                  <w:pPr>
                    <w:widowControl/>
                    <w:jc w:val="center"/>
                    <w:textAlignment w:val="center"/>
                    <w:rPr>
                      <w:color w:val="FF0000"/>
                      <w:szCs w:val="21"/>
                    </w:rPr>
                  </w:pPr>
                  <w:r>
                    <w:rPr>
                      <w:rFonts w:hint="eastAsia"/>
                      <w:color w:val="FF0000"/>
                      <w:szCs w:val="21"/>
                    </w:rPr>
                    <w:t>液态</w:t>
                  </w:r>
                </w:p>
              </w:tc>
              <w:tc>
                <w:tcPr>
                  <w:tcW w:w="0" w:type="auto"/>
                  <w:vAlign w:val="center"/>
                </w:tcPr>
                <w:p>
                  <w:pPr>
                    <w:widowControl/>
                    <w:jc w:val="center"/>
                    <w:textAlignment w:val="center"/>
                    <w:rPr>
                      <w:rFonts w:hint="default" w:eastAsia="宋体"/>
                      <w:color w:val="FF0000"/>
                      <w:szCs w:val="21"/>
                      <w:lang w:val="en-US" w:eastAsia="zh-CN"/>
                    </w:rPr>
                  </w:pPr>
                  <w:r>
                    <w:rPr>
                      <w:rFonts w:hint="eastAsia"/>
                      <w:color w:val="FF0000"/>
                      <w:szCs w:val="21"/>
                      <w:lang w:val="en-US" w:eastAsia="zh-CN"/>
                    </w:rPr>
                    <w:t>高分子聚合物0.6%，</w:t>
                  </w:r>
                  <w:r>
                    <w:rPr>
                      <w:rFonts w:hint="eastAsia"/>
                      <w:color w:val="FF0000"/>
                      <w:szCs w:val="21"/>
                    </w:rPr>
                    <w:t>天然石蜡</w:t>
                  </w:r>
                  <w:r>
                    <w:rPr>
                      <w:rFonts w:hint="eastAsia"/>
                      <w:color w:val="FF0000"/>
                      <w:szCs w:val="21"/>
                      <w:lang w:val="en-US" w:eastAsia="zh-CN"/>
                    </w:rPr>
                    <w:t>1.97%</w:t>
                  </w:r>
                  <w:r>
                    <w:rPr>
                      <w:rFonts w:hint="eastAsia"/>
                      <w:color w:val="FF0000"/>
                      <w:szCs w:val="21"/>
                    </w:rPr>
                    <w:t>、润滑钾基脂</w:t>
                  </w:r>
                  <w:r>
                    <w:rPr>
                      <w:rFonts w:hint="eastAsia"/>
                      <w:color w:val="FF0000"/>
                      <w:szCs w:val="21"/>
                      <w:lang w:val="en-US" w:eastAsia="zh-CN"/>
                    </w:rPr>
                    <w:t>1%</w:t>
                  </w:r>
                  <w:r>
                    <w:rPr>
                      <w:rFonts w:hint="eastAsia"/>
                      <w:color w:val="FF0000"/>
                      <w:szCs w:val="21"/>
                      <w:lang w:eastAsia="zh-CN"/>
                    </w:rPr>
                    <w:t>、</w:t>
                  </w:r>
                  <w:r>
                    <w:rPr>
                      <w:rFonts w:hint="eastAsia"/>
                      <w:color w:val="FF0000"/>
                      <w:szCs w:val="21"/>
                      <w:lang w:val="en-US" w:eastAsia="zh-CN"/>
                    </w:rPr>
                    <w:t>甲基</w:t>
                  </w:r>
                  <w:r>
                    <w:rPr>
                      <w:rFonts w:hint="eastAsia"/>
                      <w:color w:val="FF0000"/>
                      <w:szCs w:val="21"/>
                    </w:rPr>
                    <w:t>硅油</w:t>
                  </w:r>
                  <w:r>
                    <w:rPr>
                      <w:rFonts w:hint="eastAsia"/>
                      <w:color w:val="FF0000"/>
                      <w:szCs w:val="21"/>
                      <w:lang w:val="en-US" w:eastAsia="zh-CN"/>
                    </w:rPr>
                    <w:t>96.43%</w:t>
                  </w:r>
                </w:p>
              </w:tc>
              <w:tc>
                <w:tcPr>
                  <w:tcW w:w="0" w:type="auto"/>
                  <w:vAlign w:val="center"/>
                </w:tcPr>
                <w:p>
                  <w:pPr>
                    <w:widowControl/>
                    <w:jc w:val="center"/>
                    <w:textAlignment w:val="center"/>
                    <w:rPr>
                      <w:color w:val="FF0000"/>
                      <w:szCs w:val="21"/>
                    </w:rPr>
                  </w:pPr>
                  <w:r>
                    <w:rPr>
                      <w:rFonts w:hint="eastAsia"/>
                      <w:color w:val="FF0000"/>
                      <w:szCs w:val="21"/>
                    </w:rPr>
                    <w:t>7吨</w:t>
                  </w:r>
                </w:p>
              </w:tc>
              <w:tc>
                <w:tcPr>
                  <w:tcW w:w="0" w:type="auto"/>
                  <w:vAlign w:val="center"/>
                </w:tcPr>
                <w:p>
                  <w:pPr>
                    <w:widowControl/>
                    <w:jc w:val="center"/>
                    <w:textAlignment w:val="center"/>
                    <w:rPr>
                      <w:color w:val="FF0000"/>
                      <w:szCs w:val="21"/>
                    </w:rPr>
                  </w:pPr>
                  <w:r>
                    <w:rPr>
                      <w:rFonts w:hint="eastAsia"/>
                      <w:color w:val="FF0000"/>
                      <w:szCs w:val="21"/>
                    </w:rPr>
                    <w:t>桶装、0.5吨</w:t>
                  </w:r>
                </w:p>
              </w:tc>
              <w:tc>
                <w:tcPr>
                  <w:tcW w:w="0" w:type="auto"/>
                  <w:vAlign w:val="center"/>
                </w:tcPr>
                <w:p>
                  <w:pPr>
                    <w:widowControl/>
                    <w:jc w:val="center"/>
                    <w:textAlignment w:val="center"/>
                    <w:rPr>
                      <w:color w:val="FF0000"/>
                      <w:szCs w:val="21"/>
                    </w:rPr>
                  </w:pPr>
                  <w:r>
                    <w:rPr>
                      <w:rFonts w:hint="eastAsia"/>
                      <w:color w:val="FF0000"/>
                      <w:kern w:val="0"/>
                      <w:szCs w:val="21"/>
                      <w:lang w:bidi="ar"/>
                    </w:rPr>
                    <w:t>外购/汽运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pPr>
                    <w:widowControl/>
                    <w:jc w:val="center"/>
                    <w:textAlignment w:val="center"/>
                    <w:rPr>
                      <w:kern w:val="0"/>
                      <w:szCs w:val="21"/>
                      <w:lang w:bidi="ar"/>
                    </w:rPr>
                  </w:pPr>
                  <w:r>
                    <w:rPr>
                      <w:kern w:val="0"/>
                      <w:szCs w:val="21"/>
                      <w:lang w:bidi="ar"/>
                    </w:rPr>
                    <w:t>3</w:t>
                  </w:r>
                </w:p>
              </w:tc>
              <w:tc>
                <w:tcPr>
                  <w:tcW w:w="0" w:type="auto"/>
                  <w:vAlign w:val="center"/>
                </w:tcPr>
                <w:p>
                  <w:pPr>
                    <w:widowControl/>
                    <w:jc w:val="center"/>
                    <w:textAlignment w:val="center"/>
                    <w:rPr>
                      <w:szCs w:val="21"/>
                    </w:rPr>
                  </w:pPr>
                  <w:r>
                    <w:rPr>
                      <w:rFonts w:hint="eastAsia"/>
                      <w:szCs w:val="21"/>
                    </w:rPr>
                    <w:t>树脂</w:t>
                  </w:r>
                </w:p>
              </w:tc>
              <w:tc>
                <w:tcPr>
                  <w:tcW w:w="0" w:type="auto"/>
                  <w:vAlign w:val="center"/>
                </w:tcPr>
                <w:p>
                  <w:pPr>
                    <w:widowControl/>
                    <w:jc w:val="center"/>
                    <w:textAlignment w:val="center"/>
                    <w:rPr>
                      <w:szCs w:val="21"/>
                    </w:rPr>
                  </w:pPr>
                  <w:r>
                    <w:rPr>
                      <w:rFonts w:hint="eastAsia"/>
                      <w:szCs w:val="21"/>
                    </w:rPr>
                    <w:t>固态</w:t>
                  </w:r>
                </w:p>
              </w:tc>
              <w:tc>
                <w:tcPr>
                  <w:tcW w:w="0" w:type="auto"/>
                  <w:vAlign w:val="center"/>
                </w:tcPr>
                <w:p>
                  <w:pPr>
                    <w:widowControl/>
                    <w:jc w:val="center"/>
                    <w:textAlignment w:val="center"/>
                    <w:rPr>
                      <w:szCs w:val="21"/>
                    </w:rPr>
                  </w:pPr>
                  <w:r>
                    <w:rPr>
                      <w:rFonts w:hint="eastAsia"/>
                      <w:szCs w:val="21"/>
                    </w:rPr>
                    <w:t>聚氯乙烯、聚乙烯</w:t>
                  </w:r>
                </w:p>
              </w:tc>
              <w:tc>
                <w:tcPr>
                  <w:tcW w:w="0" w:type="auto"/>
                  <w:vAlign w:val="center"/>
                </w:tcPr>
                <w:p>
                  <w:pPr>
                    <w:widowControl/>
                    <w:jc w:val="center"/>
                    <w:textAlignment w:val="center"/>
                    <w:rPr>
                      <w:szCs w:val="21"/>
                    </w:rPr>
                  </w:pPr>
                  <w:r>
                    <w:rPr>
                      <w:rFonts w:hint="eastAsia"/>
                      <w:szCs w:val="21"/>
                    </w:rPr>
                    <w:t>80吨</w:t>
                  </w:r>
                </w:p>
              </w:tc>
              <w:tc>
                <w:tcPr>
                  <w:tcW w:w="0" w:type="auto"/>
                  <w:vAlign w:val="center"/>
                </w:tcPr>
                <w:p>
                  <w:pPr>
                    <w:widowControl/>
                    <w:jc w:val="center"/>
                    <w:textAlignment w:val="center"/>
                    <w:rPr>
                      <w:szCs w:val="21"/>
                    </w:rPr>
                  </w:pPr>
                  <w:r>
                    <w:rPr>
                      <w:rFonts w:hint="eastAsia"/>
                      <w:szCs w:val="21"/>
                    </w:rPr>
                    <w:t>散装、10吨</w:t>
                  </w:r>
                </w:p>
              </w:tc>
              <w:tc>
                <w:tcPr>
                  <w:tcW w:w="0" w:type="auto"/>
                  <w:vAlign w:val="center"/>
                </w:tcPr>
                <w:p>
                  <w:pPr>
                    <w:widowControl/>
                    <w:jc w:val="center"/>
                    <w:textAlignment w:val="center"/>
                    <w:rPr>
                      <w:kern w:val="0"/>
                      <w:szCs w:val="21"/>
                      <w:lang w:bidi="ar"/>
                    </w:rPr>
                  </w:pPr>
                  <w:r>
                    <w:rPr>
                      <w:rFonts w:hint="eastAsia"/>
                      <w:kern w:val="0"/>
                      <w:szCs w:val="21"/>
                      <w:lang w:bidi="ar"/>
                    </w:rPr>
                    <w:t>外购/汽运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pPr>
                    <w:widowControl/>
                    <w:jc w:val="center"/>
                    <w:textAlignment w:val="center"/>
                    <w:rPr>
                      <w:kern w:val="0"/>
                      <w:szCs w:val="21"/>
                      <w:lang w:bidi="ar"/>
                    </w:rPr>
                  </w:pPr>
                  <w:r>
                    <w:rPr>
                      <w:rFonts w:hint="eastAsia"/>
                      <w:kern w:val="0"/>
                      <w:szCs w:val="21"/>
                      <w:lang w:bidi="ar"/>
                    </w:rPr>
                    <w:t>4</w:t>
                  </w:r>
                </w:p>
              </w:tc>
              <w:tc>
                <w:tcPr>
                  <w:tcW w:w="0" w:type="auto"/>
                  <w:vAlign w:val="center"/>
                </w:tcPr>
                <w:p>
                  <w:pPr>
                    <w:widowControl/>
                    <w:jc w:val="center"/>
                    <w:textAlignment w:val="center"/>
                    <w:rPr>
                      <w:szCs w:val="21"/>
                    </w:rPr>
                  </w:pPr>
                  <w:r>
                    <w:rPr>
                      <w:rFonts w:hint="eastAsia"/>
                      <w:szCs w:val="21"/>
                    </w:rPr>
                    <w:t>碳酸钙</w:t>
                  </w:r>
                </w:p>
              </w:tc>
              <w:tc>
                <w:tcPr>
                  <w:tcW w:w="0" w:type="auto"/>
                  <w:vAlign w:val="center"/>
                </w:tcPr>
                <w:p>
                  <w:pPr>
                    <w:widowControl/>
                    <w:jc w:val="center"/>
                    <w:textAlignment w:val="center"/>
                    <w:rPr>
                      <w:szCs w:val="21"/>
                    </w:rPr>
                  </w:pPr>
                  <w:r>
                    <w:rPr>
                      <w:rFonts w:hint="eastAsia"/>
                      <w:szCs w:val="21"/>
                    </w:rPr>
                    <w:t>固态</w:t>
                  </w:r>
                </w:p>
              </w:tc>
              <w:tc>
                <w:tcPr>
                  <w:tcW w:w="0" w:type="auto"/>
                  <w:vAlign w:val="center"/>
                </w:tcPr>
                <w:p>
                  <w:pPr>
                    <w:widowControl/>
                    <w:jc w:val="center"/>
                    <w:textAlignment w:val="center"/>
                    <w:rPr>
                      <w:szCs w:val="21"/>
                    </w:rPr>
                  </w:pPr>
                  <w:r>
                    <w:rPr>
                      <w:rFonts w:hint="eastAsia"/>
                      <w:szCs w:val="21"/>
                      <w:lang w:val="en-US" w:eastAsia="zh-CN"/>
                    </w:rPr>
                    <w:t xml:space="preserve">99.8% </w:t>
                  </w:r>
                  <w:r>
                    <w:rPr>
                      <w:rFonts w:hint="eastAsia"/>
                      <w:szCs w:val="21"/>
                    </w:rPr>
                    <w:t>碳酸钙</w:t>
                  </w:r>
                </w:p>
              </w:tc>
              <w:tc>
                <w:tcPr>
                  <w:tcW w:w="0" w:type="auto"/>
                  <w:vAlign w:val="center"/>
                </w:tcPr>
                <w:p>
                  <w:pPr>
                    <w:widowControl/>
                    <w:jc w:val="center"/>
                    <w:textAlignment w:val="center"/>
                    <w:rPr>
                      <w:szCs w:val="21"/>
                    </w:rPr>
                  </w:pPr>
                  <w:r>
                    <w:rPr>
                      <w:rFonts w:hint="eastAsia"/>
                      <w:szCs w:val="21"/>
                    </w:rPr>
                    <w:t>120吨</w:t>
                  </w:r>
                </w:p>
              </w:tc>
              <w:tc>
                <w:tcPr>
                  <w:tcW w:w="0" w:type="auto"/>
                  <w:vAlign w:val="center"/>
                </w:tcPr>
                <w:p>
                  <w:pPr>
                    <w:widowControl/>
                    <w:jc w:val="center"/>
                    <w:textAlignment w:val="center"/>
                    <w:rPr>
                      <w:szCs w:val="21"/>
                    </w:rPr>
                  </w:pPr>
                  <w:r>
                    <w:rPr>
                      <w:rFonts w:hint="eastAsia"/>
                      <w:szCs w:val="21"/>
                    </w:rPr>
                    <w:t>袋装、15吨</w:t>
                  </w:r>
                </w:p>
              </w:tc>
              <w:tc>
                <w:tcPr>
                  <w:tcW w:w="0" w:type="auto"/>
                  <w:vAlign w:val="center"/>
                </w:tcPr>
                <w:p>
                  <w:pPr>
                    <w:widowControl/>
                    <w:jc w:val="center"/>
                    <w:textAlignment w:val="center"/>
                    <w:rPr>
                      <w:kern w:val="0"/>
                      <w:szCs w:val="21"/>
                      <w:lang w:bidi="ar"/>
                    </w:rPr>
                  </w:pPr>
                  <w:r>
                    <w:rPr>
                      <w:rFonts w:hint="eastAsia"/>
                      <w:kern w:val="0"/>
                      <w:szCs w:val="21"/>
                      <w:lang w:bidi="ar"/>
                    </w:rPr>
                    <w:t>外购/汽运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pPr>
                    <w:widowControl/>
                    <w:jc w:val="center"/>
                    <w:textAlignment w:val="center"/>
                    <w:rPr>
                      <w:kern w:val="0"/>
                      <w:szCs w:val="21"/>
                      <w:lang w:bidi="ar"/>
                    </w:rPr>
                  </w:pPr>
                  <w:r>
                    <w:rPr>
                      <w:rFonts w:hint="eastAsia"/>
                      <w:kern w:val="0"/>
                      <w:szCs w:val="21"/>
                      <w:lang w:bidi="ar"/>
                    </w:rPr>
                    <w:t>5</w:t>
                  </w:r>
                </w:p>
              </w:tc>
              <w:tc>
                <w:tcPr>
                  <w:tcW w:w="0" w:type="auto"/>
                  <w:vAlign w:val="center"/>
                </w:tcPr>
                <w:p>
                  <w:pPr>
                    <w:widowControl/>
                    <w:jc w:val="center"/>
                    <w:textAlignment w:val="center"/>
                    <w:rPr>
                      <w:szCs w:val="21"/>
                    </w:rPr>
                  </w:pPr>
                  <w:r>
                    <w:rPr>
                      <w:rFonts w:hint="eastAsia"/>
                      <w:szCs w:val="21"/>
                    </w:rPr>
                    <w:t>涤纶长丝</w:t>
                  </w:r>
                </w:p>
              </w:tc>
              <w:tc>
                <w:tcPr>
                  <w:tcW w:w="0" w:type="auto"/>
                  <w:vAlign w:val="center"/>
                </w:tcPr>
                <w:p>
                  <w:pPr>
                    <w:widowControl/>
                    <w:jc w:val="center"/>
                    <w:textAlignment w:val="center"/>
                    <w:rPr>
                      <w:szCs w:val="21"/>
                    </w:rPr>
                  </w:pPr>
                  <w:r>
                    <w:rPr>
                      <w:rFonts w:hint="eastAsia"/>
                      <w:szCs w:val="21"/>
                    </w:rPr>
                    <w:t>固态</w:t>
                  </w:r>
                </w:p>
              </w:tc>
              <w:tc>
                <w:tcPr>
                  <w:tcW w:w="0" w:type="auto"/>
                  <w:vAlign w:val="center"/>
                </w:tcPr>
                <w:p>
                  <w:pPr>
                    <w:widowControl/>
                    <w:jc w:val="center"/>
                    <w:textAlignment w:val="center"/>
                    <w:rPr>
                      <w:szCs w:val="21"/>
                    </w:rPr>
                  </w:pPr>
                  <w:r>
                    <w:rPr>
                      <w:rFonts w:hint="eastAsia"/>
                      <w:szCs w:val="21"/>
                    </w:rPr>
                    <w:t>聚对苯二甲酸乙二醇酯</w:t>
                  </w:r>
                </w:p>
              </w:tc>
              <w:tc>
                <w:tcPr>
                  <w:tcW w:w="0" w:type="auto"/>
                  <w:vAlign w:val="center"/>
                </w:tcPr>
                <w:p>
                  <w:pPr>
                    <w:widowControl/>
                    <w:jc w:val="center"/>
                    <w:textAlignment w:val="center"/>
                    <w:rPr>
                      <w:szCs w:val="21"/>
                    </w:rPr>
                  </w:pPr>
                  <w:r>
                    <w:rPr>
                      <w:rFonts w:hint="eastAsia"/>
                      <w:szCs w:val="21"/>
                    </w:rPr>
                    <w:t>200吨</w:t>
                  </w:r>
                </w:p>
              </w:tc>
              <w:tc>
                <w:tcPr>
                  <w:tcW w:w="0" w:type="auto"/>
                  <w:vAlign w:val="center"/>
                </w:tcPr>
                <w:p>
                  <w:pPr>
                    <w:widowControl/>
                    <w:jc w:val="center"/>
                    <w:textAlignment w:val="center"/>
                    <w:rPr>
                      <w:szCs w:val="21"/>
                    </w:rPr>
                  </w:pPr>
                  <w:r>
                    <w:rPr>
                      <w:rFonts w:hint="eastAsia"/>
                      <w:szCs w:val="21"/>
                    </w:rPr>
                    <w:t>袋装、30吨</w:t>
                  </w:r>
                </w:p>
              </w:tc>
              <w:tc>
                <w:tcPr>
                  <w:tcW w:w="0" w:type="auto"/>
                  <w:vAlign w:val="center"/>
                </w:tcPr>
                <w:p>
                  <w:pPr>
                    <w:widowControl/>
                    <w:jc w:val="center"/>
                    <w:textAlignment w:val="center"/>
                    <w:rPr>
                      <w:kern w:val="0"/>
                      <w:szCs w:val="21"/>
                      <w:lang w:bidi="ar"/>
                    </w:rPr>
                  </w:pPr>
                  <w:r>
                    <w:rPr>
                      <w:rFonts w:hint="eastAsia"/>
                      <w:kern w:val="0"/>
                      <w:szCs w:val="21"/>
                      <w:lang w:bidi="ar"/>
                    </w:rPr>
                    <w:t>外购/汽运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pPr>
                    <w:widowControl/>
                    <w:jc w:val="center"/>
                    <w:textAlignment w:val="center"/>
                    <w:rPr>
                      <w:kern w:val="0"/>
                      <w:szCs w:val="21"/>
                      <w:lang w:bidi="ar"/>
                    </w:rPr>
                  </w:pPr>
                  <w:r>
                    <w:rPr>
                      <w:rFonts w:hint="eastAsia"/>
                      <w:kern w:val="0"/>
                      <w:szCs w:val="21"/>
                      <w:lang w:bidi="ar"/>
                    </w:rPr>
                    <w:t>6</w:t>
                  </w:r>
                </w:p>
              </w:tc>
              <w:tc>
                <w:tcPr>
                  <w:tcW w:w="0" w:type="auto"/>
                  <w:vAlign w:val="center"/>
                </w:tcPr>
                <w:p>
                  <w:pPr>
                    <w:widowControl/>
                    <w:jc w:val="center"/>
                    <w:textAlignment w:val="center"/>
                    <w:rPr>
                      <w:szCs w:val="21"/>
                    </w:rPr>
                  </w:pPr>
                  <w:r>
                    <w:rPr>
                      <w:rFonts w:hint="eastAsia"/>
                      <w:szCs w:val="21"/>
                    </w:rPr>
                    <w:t>涤纶纱</w:t>
                  </w:r>
                </w:p>
              </w:tc>
              <w:tc>
                <w:tcPr>
                  <w:tcW w:w="0" w:type="auto"/>
                  <w:vAlign w:val="center"/>
                </w:tcPr>
                <w:p>
                  <w:pPr>
                    <w:widowControl/>
                    <w:jc w:val="center"/>
                    <w:textAlignment w:val="center"/>
                    <w:rPr>
                      <w:szCs w:val="21"/>
                    </w:rPr>
                  </w:pPr>
                  <w:r>
                    <w:rPr>
                      <w:rFonts w:hint="eastAsia"/>
                      <w:szCs w:val="21"/>
                    </w:rPr>
                    <w:t>固态</w:t>
                  </w:r>
                </w:p>
              </w:tc>
              <w:tc>
                <w:tcPr>
                  <w:tcW w:w="0" w:type="auto"/>
                  <w:vAlign w:val="center"/>
                </w:tcPr>
                <w:p>
                  <w:pPr>
                    <w:widowControl/>
                    <w:jc w:val="center"/>
                    <w:textAlignment w:val="center"/>
                    <w:rPr>
                      <w:szCs w:val="21"/>
                    </w:rPr>
                  </w:pPr>
                  <w:r>
                    <w:rPr>
                      <w:rFonts w:hint="eastAsia"/>
                      <w:szCs w:val="21"/>
                    </w:rPr>
                    <w:t>聚对苯二甲酸乙二醇酯</w:t>
                  </w:r>
                </w:p>
              </w:tc>
              <w:tc>
                <w:tcPr>
                  <w:tcW w:w="0" w:type="auto"/>
                  <w:vAlign w:val="center"/>
                </w:tcPr>
                <w:p>
                  <w:pPr>
                    <w:widowControl/>
                    <w:jc w:val="center"/>
                    <w:textAlignment w:val="center"/>
                    <w:rPr>
                      <w:szCs w:val="21"/>
                    </w:rPr>
                  </w:pPr>
                  <w:r>
                    <w:rPr>
                      <w:rFonts w:hint="eastAsia"/>
                      <w:szCs w:val="21"/>
                    </w:rPr>
                    <w:t>120吨</w:t>
                  </w:r>
                </w:p>
              </w:tc>
              <w:tc>
                <w:tcPr>
                  <w:tcW w:w="0" w:type="auto"/>
                  <w:vAlign w:val="center"/>
                </w:tcPr>
                <w:p>
                  <w:pPr>
                    <w:widowControl/>
                    <w:jc w:val="center"/>
                    <w:textAlignment w:val="center"/>
                    <w:rPr>
                      <w:szCs w:val="21"/>
                    </w:rPr>
                  </w:pPr>
                  <w:r>
                    <w:rPr>
                      <w:rFonts w:hint="eastAsia"/>
                      <w:szCs w:val="21"/>
                    </w:rPr>
                    <w:t>袋装、10吨</w:t>
                  </w:r>
                </w:p>
              </w:tc>
              <w:tc>
                <w:tcPr>
                  <w:tcW w:w="0" w:type="auto"/>
                  <w:vAlign w:val="center"/>
                </w:tcPr>
                <w:p>
                  <w:pPr>
                    <w:widowControl/>
                    <w:jc w:val="center"/>
                    <w:textAlignment w:val="center"/>
                    <w:rPr>
                      <w:kern w:val="0"/>
                      <w:szCs w:val="21"/>
                      <w:lang w:bidi="ar"/>
                    </w:rPr>
                  </w:pPr>
                  <w:r>
                    <w:rPr>
                      <w:rFonts w:hint="eastAsia"/>
                      <w:kern w:val="0"/>
                      <w:szCs w:val="21"/>
                      <w:lang w:bidi="ar"/>
                    </w:rPr>
                    <w:t>外购/汽运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pPr>
                    <w:widowControl/>
                    <w:jc w:val="center"/>
                    <w:textAlignment w:val="center"/>
                    <w:rPr>
                      <w:kern w:val="0"/>
                      <w:szCs w:val="21"/>
                      <w:lang w:bidi="ar"/>
                    </w:rPr>
                  </w:pPr>
                  <w:r>
                    <w:rPr>
                      <w:rFonts w:hint="eastAsia"/>
                      <w:kern w:val="0"/>
                      <w:szCs w:val="21"/>
                      <w:lang w:bidi="ar"/>
                    </w:rPr>
                    <w:t>7</w:t>
                  </w:r>
                </w:p>
              </w:tc>
              <w:tc>
                <w:tcPr>
                  <w:tcW w:w="0" w:type="auto"/>
                  <w:vAlign w:val="center"/>
                </w:tcPr>
                <w:p>
                  <w:pPr>
                    <w:widowControl/>
                    <w:jc w:val="center"/>
                    <w:textAlignment w:val="center"/>
                    <w:rPr>
                      <w:szCs w:val="21"/>
                    </w:rPr>
                  </w:pPr>
                  <w:r>
                    <w:rPr>
                      <w:rFonts w:hint="eastAsia"/>
                      <w:szCs w:val="21"/>
                    </w:rPr>
                    <w:t>塑粉</w:t>
                  </w:r>
                </w:p>
              </w:tc>
              <w:tc>
                <w:tcPr>
                  <w:tcW w:w="0" w:type="auto"/>
                  <w:vAlign w:val="center"/>
                </w:tcPr>
                <w:p>
                  <w:pPr>
                    <w:widowControl/>
                    <w:jc w:val="center"/>
                    <w:textAlignment w:val="center"/>
                    <w:rPr>
                      <w:szCs w:val="21"/>
                    </w:rPr>
                  </w:pPr>
                  <w:r>
                    <w:rPr>
                      <w:rFonts w:hint="eastAsia"/>
                      <w:szCs w:val="21"/>
                    </w:rPr>
                    <w:t>固态</w:t>
                  </w:r>
                </w:p>
              </w:tc>
              <w:tc>
                <w:tcPr>
                  <w:tcW w:w="0" w:type="auto"/>
                  <w:vAlign w:val="center"/>
                </w:tcPr>
                <w:p>
                  <w:pPr>
                    <w:widowControl/>
                    <w:jc w:val="center"/>
                    <w:textAlignment w:val="center"/>
                    <w:rPr>
                      <w:kern w:val="0"/>
                      <w:szCs w:val="21"/>
                      <w:lang w:bidi="ar"/>
                    </w:rPr>
                  </w:pPr>
                  <w:r>
                    <w:rPr>
                      <w:rFonts w:hint="eastAsia" w:ascii="Arial" w:hAnsi="Arial" w:cs="Arial"/>
                      <w:color w:val="333333"/>
                      <w:szCs w:val="21"/>
                      <w:shd w:val="clear" w:color="auto" w:fill="FFFFFF"/>
                    </w:rPr>
                    <w:t>/</w:t>
                  </w:r>
                </w:p>
              </w:tc>
              <w:tc>
                <w:tcPr>
                  <w:tcW w:w="0" w:type="auto"/>
                  <w:vAlign w:val="center"/>
                </w:tcPr>
                <w:p>
                  <w:pPr>
                    <w:widowControl/>
                    <w:jc w:val="center"/>
                    <w:textAlignment w:val="center"/>
                    <w:rPr>
                      <w:kern w:val="0"/>
                      <w:szCs w:val="21"/>
                      <w:lang w:bidi="ar"/>
                    </w:rPr>
                  </w:pPr>
                  <w:r>
                    <w:rPr>
                      <w:rFonts w:hint="eastAsia"/>
                      <w:kern w:val="0"/>
                      <w:szCs w:val="21"/>
                      <w:lang w:bidi="ar"/>
                    </w:rPr>
                    <w:t>120吨</w:t>
                  </w:r>
                </w:p>
              </w:tc>
              <w:tc>
                <w:tcPr>
                  <w:tcW w:w="0" w:type="auto"/>
                  <w:vAlign w:val="center"/>
                </w:tcPr>
                <w:p>
                  <w:pPr>
                    <w:widowControl/>
                    <w:jc w:val="center"/>
                    <w:textAlignment w:val="center"/>
                    <w:rPr>
                      <w:kern w:val="0"/>
                      <w:szCs w:val="21"/>
                      <w:lang w:bidi="ar"/>
                    </w:rPr>
                  </w:pPr>
                  <w:r>
                    <w:rPr>
                      <w:rFonts w:hint="eastAsia"/>
                      <w:szCs w:val="21"/>
                    </w:rPr>
                    <w:t>袋装、</w:t>
                  </w:r>
                  <w:r>
                    <w:rPr>
                      <w:kern w:val="0"/>
                      <w:szCs w:val="21"/>
                      <w:lang w:bidi="ar"/>
                    </w:rPr>
                    <w:t>1</w:t>
                  </w:r>
                  <w:r>
                    <w:rPr>
                      <w:rFonts w:hint="eastAsia"/>
                      <w:kern w:val="0"/>
                      <w:szCs w:val="21"/>
                      <w:lang w:bidi="ar"/>
                    </w:rPr>
                    <w:t>吨</w:t>
                  </w:r>
                </w:p>
              </w:tc>
              <w:tc>
                <w:tcPr>
                  <w:tcW w:w="0" w:type="auto"/>
                  <w:vAlign w:val="center"/>
                </w:tcPr>
                <w:p>
                  <w:pPr>
                    <w:widowControl/>
                    <w:jc w:val="center"/>
                    <w:textAlignment w:val="center"/>
                    <w:rPr>
                      <w:kern w:val="0"/>
                      <w:szCs w:val="21"/>
                      <w:lang w:bidi="ar"/>
                    </w:rPr>
                  </w:pPr>
                  <w:r>
                    <w:rPr>
                      <w:rFonts w:hint="eastAsia"/>
                      <w:kern w:val="0"/>
                      <w:szCs w:val="21"/>
                      <w:lang w:bidi="ar"/>
                    </w:rPr>
                    <w:t>外购/汽运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pPr>
                    <w:widowControl/>
                    <w:jc w:val="center"/>
                    <w:textAlignment w:val="center"/>
                    <w:rPr>
                      <w:kern w:val="0"/>
                      <w:szCs w:val="21"/>
                      <w:lang w:bidi="ar"/>
                    </w:rPr>
                  </w:pPr>
                  <w:r>
                    <w:rPr>
                      <w:rFonts w:hint="eastAsia"/>
                      <w:kern w:val="0"/>
                      <w:szCs w:val="21"/>
                      <w:lang w:bidi="ar"/>
                    </w:rPr>
                    <w:t>8</w:t>
                  </w:r>
                </w:p>
              </w:tc>
              <w:tc>
                <w:tcPr>
                  <w:tcW w:w="0" w:type="auto"/>
                  <w:vAlign w:val="center"/>
                </w:tcPr>
                <w:p>
                  <w:pPr>
                    <w:widowControl/>
                    <w:jc w:val="center"/>
                    <w:textAlignment w:val="center"/>
                    <w:rPr>
                      <w:szCs w:val="21"/>
                    </w:rPr>
                  </w:pPr>
                  <w:r>
                    <w:rPr>
                      <w:rFonts w:hint="eastAsia"/>
                      <w:szCs w:val="21"/>
                    </w:rPr>
                    <w:t>切削液</w:t>
                  </w:r>
                </w:p>
              </w:tc>
              <w:tc>
                <w:tcPr>
                  <w:tcW w:w="0" w:type="auto"/>
                  <w:vAlign w:val="center"/>
                </w:tcPr>
                <w:p>
                  <w:pPr>
                    <w:widowControl/>
                    <w:jc w:val="center"/>
                    <w:textAlignment w:val="center"/>
                    <w:rPr>
                      <w:szCs w:val="21"/>
                    </w:rPr>
                  </w:pPr>
                  <w:r>
                    <w:rPr>
                      <w:rFonts w:hint="eastAsia"/>
                      <w:szCs w:val="21"/>
                    </w:rPr>
                    <w:t>液态</w:t>
                  </w:r>
                </w:p>
              </w:tc>
              <w:tc>
                <w:tcPr>
                  <w:tcW w:w="0" w:type="auto"/>
                  <w:vAlign w:val="center"/>
                </w:tcPr>
                <w:p>
                  <w:pPr>
                    <w:widowControl/>
                    <w:jc w:val="center"/>
                    <w:textAlignment w:val="center"/>
                    <w:rPr>
                      <w:rFonts w:hint="default" w:ascii="Arial" w:hAnsi="Arial" w:eastAsia="宋体" w:cs="Arial"/>
                      <w:color w:val="333333"/>
                      <w:szCs w:val="21"/>
                      <w:shd w:val="clear" w:color="auto" w:fill="FFFFFF"/>
                      <w:lang w:val="en-US" w:eastAsia="zh-CN"/>
                    </w:rPr>
                  </w:pPr>
                  <w:r>
                    <w:rPr>
                      <w:rFonts w:hint="eastAsia" w:ascii="Times New Roman" w:hAnsi="Times New Roman" w:eastAsia="宋体" w:cs="Times New Roman"/>
                      <w:szCs w:val="21"/>
                      <w:lang w:val="en-US" w:eastAsia="zh-CN"/>
                    </w:rPr>
                    <w:t>乙二醇88%、四硼酸钠4.6%、偏硅酸钠3.2%、磷酸钠4.2%</w:t>
                  </w:r>
                </w:p>
              </w:tc>
              <w:tc>
                <w:tcPr>
                  <w:tcW w:w="0" w:type="auto"/>
                  <w:vAlign w:val="center"/>
                </w:tcPr>
                <w:p>
                  <w:pPr>
                    <w:widowControl/>
                    <w:jc w:val="center"/>
                    <w:textAlignment w:val="center"/>
                    <w:rPr>
                      <w:kern w:val="0"/>
                      <w:szCs w:val="21"/>
                      <w:lang w:bidi="ar"/>
                    </w:rPr>
                  </w:pPr>
                  <w:r>
                    <w:rPr>
                      <w:rFonts w:hint="eastAsia"/>
                      <w:kern w:val="0"/>
                      <w:szCs w:val="21"/>
                      <w:lang w:bidi="ar"/>
                    </w:rPr>
                    <w:t>1吨</w:t>
                  </w:r>
                </w:p>
              </w:tc>
              <w:tc>
                <w:tcPr>
                  <w:tcW w:w="0" w:type="auto"/>
                  <w:vAlign w:val="center"/>
                </w:tcPr>
                <w:p>
                  <w:pPr>
                    <w:widowControl/>
                    <w:jc w:val="center"/>
                    <w:textAlignment w:val="center"/>
                    <w:rPr>
                      <w:szCs w:val="21"/>
                    </w:rPr>
                  </w:pPr>
                  <w:r>
                    <w:rPr>
                      <w:rFonts w:hint="eastAsia"/>
                      <w:szCs w:val="21"/>
                    </w:rPr>
                    <w:t>桶装、0.2吨</w:t>
                  </w:r>
                </w:p>
              </w:tc>
              <w:tc>
                <w:tcPr>
                  <w:tcW w:w="0" w:type="auto"/>
                  <w:vAlign w:val="center"/>
                </w:tcPr>
                <w:p>
                  <w:pPr>
                    <w:widowControl/>
                    <w:jc w:val="center"/>
                    <w:textAlignment w:val="center"/>
                    <w:rPr>
                      <w:kern w:val="0"/>
                      <w:szCs w:val="21"/>
                      <w:lang w:bidi="ar"/>
                    </w:rPr>
                  </w:pPr>
                  <w:r>
                    <w:rPr>
                      <w:rFonts w:hint="eastAsia"/>
                      <w:kern w:val="0"/>
                      <w:szCs w:val="21"/>
                      <w:lang w:bidi="ar"/>
                    </w:rPr>
                    <w:t>外购/汽运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pPr>
                    <w:widowControl/>
                    <w:jc w:val="center"/>
                    <w:textAlignment w:val="center"/>
                    <w:rPr>
                      <w:kern w:val="0"/>
                      <w:szCs w:val="21"/>
                      <w:lang w:bidi="ar"/>
                    </w:rPr>
                  </w:pPr>
                  <w:r>
                    <w:rPr>
                      <w:rFonts w:hint="eastAsia"/>
                      <w:kern w:val="0"/>
                      <w:szCs w:val="21"/>
                      <w:lang w:bidi="ar"/>
                    </w:rPr>
                    <w:t>9</w:t>
                  </w:r>
                </w:p>
              </w:tc>
              <w:tc>
                <w:tcPr>
                  <w:tcW w:w="0" w:type="auto"/>
                  <w:vAlign w:val="center"/>
                </w:tcPr>
                <w:p>
                  <w:pPr>
                    <w:widowControl/>
                    <w:jc w:val="center"/>
                    <w:textAlignment w:val="center"/>
                    <w:rPr>
                      <w:szCs w:val="21"/>
                    </w:rPr>
                  </w:pPr>
                  <w:r>
                    <w:rPr>
                      <w:rFonts w:hint="eastAsia"/>
                      <w:szCs w:val="21"/>
                    </w:rPr>
                    <w:t>机油</w:t>
                  </w:r>
                </w:p>
              </w:tc>
              <w:tc>
                <w:tcPr>
                  <w:tcW w:w="0" w:type="auto"/>
                  <w:vAlign w:val="center"/>
                </w:tcPr>
                <w:p>
                  <w:pPr>
                    <w:widowControl/>
                    <w:jc w:val="center"/>
                    <w:textAlignment w:val="center"/>
                    <w:rPr>
                      <w:szCs w:val="21"/>
                    </w:rPr>
                  </w:pPr>
                  <w:r>
                    <w:rPr>
                      <w:rFonts w:hint="eastAsia"/>
                      <w:szCs w:val="21"/>
                    </w:rPr>
                    <w:t>液态</w:t>
                  </w:r>
                </w:p>
              </w:tc>
              <w:tc>
                <w:tcPr>
                  <w:tcW w:w="0" w:type="auto"/>
                  <w:vAlign w:val="center"/>
                </w:tcPr>
                <w:p>
                  <w:pPr>
                    <w:widowControl/>
                    <w:jc w:val="center"/>
                    <w:textAlignment w:val="center"/>
                    <w:rPr>
                      <w:rFonts w:ascii="Arial" w:hAnsi="Arial" w:cs="Arial"/>
                      <w:color w:val="333333"/>
                      <w:szCs w:val="21"/>
                      <w:shd w:val="clear" w:color="auto" w:fill="FFFFFF"/>
                    </w:rPr>
                  </w:pPr>
                  <w:r>
                    <w:rPr>
                      <w:rFonts w:hint="eastAsia" w:ascii="Arial" w:hAnsi="Arial" w:cs="Arial"/>
                      <w:color w:val="333333"/>
                      <w:szCs w:val="21"/>
                      <w:shd w:val="clear" w:color="auto" w:fill="FFFFFF"/>
                    </w:rPr>
                    <w:t>/</w:t>
                  </w:r>
                </w:p>
              </w:tc>
              <w:tc>
                <w:tcPr>
                  <w:tcW w:w="0" w:type="auto"/>
                  <w:vAlign w:val="center"/>
                </w:tcPr>
                <w:p>
                  <w:pPr>
                    <w:widowControl/>
                    <w:jc w:val="center"/>
                    <w:textAlignment w:val="center"/>
                    <w:rPr>
                      <w:kern w:val="0"/>
                      <w:szCs w:val="21"/>
                      <w:lang w:bidi="ar"/>
                    </w:rPr>
                  </w:pPr>
                  <w:r>
                    <w:rPr>
                      <w:rFonts w:hint="eastAsia"/>
                      <w:kern w:val="0"/>
                      <w:szCs w:val="21"/>
                      <w:lang w:bidi="ar"/>
                    </w:rPr>
                    <w:t>0.2吨</w:t>
                  </w:r>
                </w:p>
              </w:tc>
              <w:tc>
                <w:tcPr>
                  <w:tcW w:w="0" w:type="auto"/>
                  <w:vAlign w:val="center"/>
                </w:tcPr>
                <w:p>
                  <w:pPr>
                    <w:widowControl/>
                    <w:jc w:val="center"/>
                    <w:textAlignment w:val="center"/>
                    <w:rPr>
                      <w:szCs w:val="21"/>
                    </w:rPr>
                  </w:pPr>
                  <w:r>
                    <w:rPr>
                      <w:rFonts w:hint="eastAsia"/>
                      <w:szCs w:val="21"/>
                    </w:rPr>
                    <w:t>桶装、0.2吨</w:t>
                  </w:r>
                </w:p>
              </w:tc>
              <w:tc>
                <w:tcPr>
                  <w:tcW w:w="0" w:type="auto"/>
                  <w:vAlign w:val="center"/>
                </w:tcPr>
                <w:p>
                  <w:pPr>
                    <w:widowControl/>
                    <w:jc w:val="center"/>
                    <w:textAlignment w:val="center"/>
                    <w:rPr>
                      <w:kern w:val="0"/>
                      <w:szCs w:val="21"/>
                      <w:lang w:bidi="ar"/>
                    </w:rPr>
                  </w:pPr>
                  <w:r>
                    <w:rPr>
                      <w:rFonts w:hint="eastAsia"/>
                      <w:kern w:val="0"/>
                      <w:szCs w:val="21"/>
                      <w:lang w:bidi="ar"/>
                    </w:rPr>
                    <w:t>外购/汽运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pPr>
                    <w:widowControl/>
                    <w:jc w:val="center"/>
                    <w:textAlignment w:val="center"/>
                    <w:rPr>
                      <w:rFonts w:hint="default" w:eastAsia="宋体"/>
                      <w:color w:val="FF0000"/>
                      <w:kern w:val="0"/>
                      <w:szCs w:val="21"/>
                      <w:lang w:val="en-US" w:eastAsia="zh-CN" w:bidi="ar"/>
                    </w:rPr>
                  </w:pPr>
                  <w:r>
                    <w:rPr>
                      <w:rFonts w:hint="eastAsia"/>
                      <w:color w:val="FF0000"/>
                      <w:kern w:val="0"/>
                      <w:szCs w:val="21"/>
                      <w:lang w:val="en-US" w:eastAsia="zh-CN" w:bidi="ar"/>
                    </w:rPr>
                    <w:t>10</w:t>
                  </w:r>
                </w:p>
              </w:tc>
              <w:tc>
                <w:tcPr>
                  <w:tcW w:w="0" w:type="auto"/>
                  <w:vAlign w:val="center"/>
                </w:tcPr>
                <w:p>
                  <w:pPr>
                    <w:widowControl/>
                    <w:jc w:val="center"/>
                    <w:textAlignment w:val="center"/>
                    <w:rPr>
                      <w:rFonts w:hint="eastAsia" w:eastAsia="宋体"/>
                      <w:color w:val="FF0000"/>
                      <w:szCs w:val="21"/>
                      <w:lang w:val="en-US" w:eastAsia="zh-CN"/>
                    </w:rPr>
                  </w:pPr>
                  <w:r>
                    <w:rPr>
                      <w:rFonts w:hint="eastAsia"/>
                      <w:color w:val="FF0000"/>
                      <w:szCs w:val="21"/>
                      <w:lang w:val="en-US" w:eastAsia="zh-CN"/>
                    </w:rPr>
                    <w:t>网印油墨</w:t>
                  </w:r>
                </w:p>
              </w:tc>
              <w:tc>
                <w:tcPr>
                  <w:tcW w:w="0" w:type="auto"/>
                  <w:vAlign w:val="center"/>
                </w:tcPr>
                <w:p>
                  <w:pPr>
                    <w:widowControl/>
                    <w:jc w:val="center"/>
                    <w:textAlignment w:val="center"/>
                    <w:rPr>
                      <w:rFonts w:hint="eastAsia" w:eastAsia="宋体"/>
                      <w:color w:val="FF0000"/>
                      <w:szCs w:val="21"/>
                      <w:lang w:val="en-US" w:eastAsia="zh-CN"/>
                    </w:rPr>
                  </w:pPr>
                  <w:r>
                    <w:rPr>
                      <w:rFonts w:hint="eastAsia"/>
                      <w:color w:val="FF0000"/>
                      <w:szCs w:val="21"/>
                      <w:lang w:val="en-US" w:eastAsia="zh-CN"/>
                    </w:rPr>
                    <w:t>液态</w:t>
                  </w:r>
                </w:p>
              </w:tc>
              <w:tc>
                <w:tcPr>
                  <w:tcW w:w="0" w:type="auto"/>
                  <w:vAlign w:val="center"/>
                </w:tcPr>
                <w:p>
                  <w:pPr>
                    <w:widowControl/>
                    <w:jc w:val="center"/>
                    <w:textAlignment w:val="center"/>
                    <w:rPr>
                      <w:rFonts w:hint="default" w:ascii="Arial" w:hAnsi="Arial" w:eastAsia="宋体" w:cs="Arial"/>
                      <w:color w:val="FF0000"/>
                      <w:szCs w:val="21"/>
                      <w:shd w:val="clear" w:color="auto" w:fill="FFFFFF"/>
                      <w:lang w:val="en-US" w:eastAsia="zh-CN"/>
                    </w:rPr>
                  </w:pPr>
                  <w:r>
                    <w:rPr>
                      <w:rFonts w:hint="eastAsia"/>
                      <w:color w:val="FF0000"/>
                      <w:szCs w:val="21"/>
                    </w:rPr>
                    <w:t>环氧树脂</w:t>
                  </w:r>
                  <w:r>
                    <w:rPr>
                      <w:rFonts w:hint="eastAsia"/>
                      <w:color w:val="FF0000"/>
                      <w:szCs w:val="21"/>
                      <w:lang w:val="en-US" w:eastAsia="zh-CN"/>
                    </w:rPr>
                    <w:t>81%</w:t>
                  </w:r>
                  <w:r>
                    <w:rPr>
                      <w:rFonts w:hint="eastAsia"/>
                      <w:color w:val="FF0000"/>
                      <w:szCs w:val="21"/>
                    </w:rPr>
                    <w:t>、硫化镁</w:t>
                  </w:r>
                  <w:r>
                    <w:rPr>
                      <w:rFonts w:hint="eastAsia"/>
                      <w:color w:val="FF0000"/>
                      <w:szCs w:val="21"/>
                      <w:lang w:val="en-US" w:eastAsia="zh-CN"/>
                    </w:rPr>
                    <w:t>15%</w:t>
                  </w:r>
                  <w:r>
                    <w:rPr>
                      <w:rFonts w:hint="eastAsia"/>
                      <w:color w:val="FF0000"/>
                      <w:szCs w:val="21"/>
                    </w:rPr>
                    <w:t>、感光剂</w:t>
                  </w:r>
                  <w:r>
                    <w:rPr>
                      <w:rFonts w:hint="eastAsia"/>
                      <w:color w:val="FF0000"/>
                      <w:szCs w:val="21"/>
                      <w:lang w:val="en-US" w:eastAsia="zh-CN"/>
                    </w:rPr>
                    <w:t>1.1%</w:t>
                  </w:r>
                  <w:r>
                    <w:rPr>
                      <w:rFonts w:hint="eastAsia"/>
                      <w:color w:val="FF0000"/>
                      <w:szCs w:val="21"/>
                      <w:lang w:eastAsia="zh-CN"/>
                    </w:rPr>
                    <w:t>、</w:t>
                  </w:r>
                  <w:r>
                    <w:rPr>
                      <w:rFonts w:hint="eastAsia"/>
                      <w:color w:val="FF0000"/>
                      <w:szCs w:val="21"/>
                    </w:rPr>
                    <w:t>高沸点溶剂（DBE）</w:t>
                  </w:r>
                  <w:r>
                    <w:rPr>
                      <w:rFonts w:hint="eastAsia"/>
                      <w:color w:val="FF0000"/>
                      <w:szCs w:val="21"/>
                      <w:lang w:val="en-US" w:eastAsia="zh-CN"/>
                    </w:rPr>
                    <w:t>2.9%</w:t>
                  </w:r>
                </w:p>
              </w:tc>
              <w:tc>
                <w:tcPr>
                  <w:tcW w:w="0" w:type="auto"/>
                  <w:vAlign w:val="center"/>
                </w:tcPr>
                <w:p>
                  <w:pPr>
                    <w:widowControl/>
                    <w:jc w:val="center"/>
                    <w:textAlignment w:val="center"/>
                    <w:rPr>
                      <w:rFonts w:hint="default" w:eastAsia="宋体"/>
                      <w:color w:val="FF0000"/>
                      <w:kern w:val="0"/>
                      <w:szCs w:val="21"/>
                      <w:lang w:val="en-US" w:eastAsia="zh-CN" w:bidi="ar"/>
                    </w:rPr>
                  </w:pPr>
                  <w:r>
                    <w:rPr>
                      <w:rFonts w:hint="eastAsia"/>
                      <w:color w:val="FF0000"/>
                      <w:kern w:val="0"/>
                      <w:szCs w:val="21"/>
                      <w:lang w:val="en-US" w:eastAsia="zh-CN" w:bidi="ar"/>
                    </w:rPr>
                    <w:t>0.08吨</w:t>
                  </w:r>
                </w:p>
              </w:tc>
              <w:tc>
                <w:tcPr>
                  <w:tcW w:w="0" w:type="auto"/>
                  <w:vAlign w:val="center"/>
                </w:tcPr>
                <w:p>
                  <w:pPr>
                    <w:widowControl/>
                    <w:jc w:val="center"/>
                    <w:textAlignment w:val="center"/>
                    <w:rPr>
                      <w:rFonts w:hint="default" w:eastAsia="宋体"/>
                      <w:color w:val="FF0000"/>
                      <w:szCs w:val="21"/>
                      <w:lang w:val="en-US" w:eastAsia="zh-CN"/>
                    </w:rPr>
                  </w:pPr>
                  <w:r>
                    <w:rPr>
                      <w:rFonts w:hint="eastAsia"/>
                      <w:color w:val="FF0000"/>
                      <w:szCs w:val="21"/>
                      <w:lang w:val="en-US" w:eastAsia="zh-CN"/>
                    </w:rPr>
                    <w:t>桶装、0.02吨</w:t>
                  </w:r>
                </w:p>
              </w:tc>
              <w:tc>
                <w:tcPr>
                  <w:tcW w:w="0" w:type="auto"/>
                  <w:vAlign w:val="center"/>
                </w:tcPr>
                <w:p>
                  <w:pPr>
                    <w:widowControl/>
                    <w:jc w:val="center"/>
                    <w:textAlignment w:val="center"/>
                    <w:rPr>
                      <w:rFonts w:hint="eastAsia"/>
                      <w:color w:val="FF0000"/>
                      <w:kern w:val="0"/>
                      <w:szCs w:val="21"/>
                      <w:lang w:bidi="ar"/>
                    </w:rPr>
                  </w:pPr>
                  <w:r>
                    <w:rPr>
                      <w:rFonts w:hint="eastAsia"/>
                      <w:color w:val="FF0000"/>
                      <w:kern w:val="0"/>
                      <w:szCs w:val="21"/>
                      <w:lang w:bidi="ar"/>
                    </w:rPr>
                    <w:t>外购/汽运</w:t>
                  </w:r>
                </w:p>
              </w:tc>
            </w:tr>
          </w:tbl>
          <w:p>
            <w:pPr>
              <w:keepNext w:val="0"/>
              <w:keepLines w:val="0"/>
              <w:pageBreakBefore w:val="0"/>
              <w:widowControl w:val="0"/>
              <w:kinsoku/>
              <w:wordWrap/>
              <w:overflowPunct/>
              <w:topLinePunct w:val="0"/>
              <w:autoSpaceDE/>
              <w:autoSpaceDN/>
              <w:bidi w:val="0"/>
              <w:adjustRightInd w:val="0"/>
              <w:snapToGrid w:val="0"/>
              <w:spacing w:before="157" w:beforeLines="50" w:after="157" w:afterLines="50"/>
              <w:jc w:val="center"/>
              <w:textAlignment w:val="auto"/>
              <w:rPr>
                <w:b/>
                <w:bCs/>
                <w:szCs w:val="21"/>
              </w:rPr>
            </w:pPr>
            <w:r>
              <w:rPr>
                <w:rFonts w:hint="eastAsia"/>
                <w:b/>
                <w:szCs w:val="21"/>
              </w:rPr>
              <w:t>表2-4原辅料理化特性</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94"/>
              <w:gridCol w:w="4230"/>
              <w:gridCol w:w="1373"/>
              <w:gridCol w:w="17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6" w:type="dxa"/>
                  <w:tcBorders>
                    <w:tl2br w:val="nil"/>
                    <w:tr2bl w:val="nil"/>
                  </w:tcBorders>
                  <w:vAlign w:val="center"/>
                </w:tcPr>
                <w:p>
                  <w:pPr>
                    <w:spacing w:line="360" w:lineRule="auto"/>
                    <w:jc w:val="center"/>
                    <w:rPr>
                      <w:b/>
                      <w:bCs/>
                      <w:szCs w:val="21"/>
                    </w:rPr>
                  </w:pPr>
                  <w:r>
                    <w:rPr>
                      <w:b/>
                      <w:bCs/>
                      <w:szCs w:val="21"/>
                    </w:rPr>
                    <w:t>名称</w:t>
                  </w:r>
                </w:p>
              </w:tc>
              <w:tc>
                <w:tcPr>
                  <w:tcW w:w="4193" w:type="dxa"/>
                  <w:tcBorders>
                    <w:tl2br w:val="nil"/>
                    <w:tr2bl w:val="nil"/>
                  </w:tcBorders>
                  <w:vAlign w:val="center"/>
                </w:tcPr>
                <w:p>
                  <w:pPr>
                    <w:spacing w:line="360" w:lineRule="auto"/>
                    <w:jc w:val="center"/>
                    <w:rPr>
                      <w:b/>
                      <w:bCs/>
                      <w:szCs w:val="21"/>
                    </w:rPr>
                  </w:pPr>
                  <w:r>
                    <w:rPr>
                      <w:b/>
                      <w:bCs/>
                      <w:szCs w:val="21"/>
                    </w:rPr>
                    <w:t>理化性质</w:t>
                  </w:r>
                </w:p>
              </w:tc>
              <w:tc>
                <w:tcPr>
                  <w:tcW w:w="1361" w:type="dxa"/>
                  <w:tcBorders>
                    <w:tl2br w:val="nil"/>
                    <w:tr2bl w:val="nil"/>
                  </w:tcBorders>
                  <w:vAlign w:val="center"/>
                </w:tcPr>
                <w:p>
                  <w:pPr>
                    <w:spacing w:line="360" w:lineRule="auto"/>
                    <w:jc w:val="center"/>
                    <w:rPr>
                      <w:b/>
                      <w:bCs/>
                      <w:szCs w:val="21"/>
                    </w:rPr>
                  </w:pPr>
                  <w:r>
                    <w:rPr>
                      <w:b/>
                      <w:bCs/>
                      <w:szCs w:val="21"/>
                    </w:rPr>
                    <w:t>燃烧爆炸性</w:t>
                  </w:r>
                </w:p>
              </w:tc>
              <w:tc>
                <w:tcPr>
                  <w:tcW w:w="1779" w:type="dxa"/>
                  <w:tcBorders>
                    <w:tl2br w:val="nil"/>
                    <w:tr2bl w:val="nil"/>
                  </w:tcBorders>
                  <w:vAlign w:val="center"/>
                </w:tcPr>
                <w:p>
                  <w:pPr>
                    <w:spacing w:line="360" w:lineRule="auto"/>
                    <w:jc w:val="center"/>
                    <w:rPr>
                      <w:b/>
                      <w:bCs/>
                      <w:szCs w:val="21"/>
                    </w:rPr>
                  </w:pPr>
                  <w:r>
                    <w:rPr>
                      <w:b/>
                      <w:bCs/>
                      <w:szCs w:val="21"/>
                    </w:rPr>
                    <w:t>毒理毒性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6"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szCs w:val="21"/>
                    </w:rPr>
                    <w:t>脱模剂</w:t>
                  </w:r>
                </w:p>
              </w:tc>
              <w:tc>
                <w:tcPr>
                  <w:tcW w:w="4193"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甲基硅油为主要原料的水溶性乳液</w:t>
                  </w:r>
                  <w:r>
                    <w:rPr>
                      <w:rFonts w:hint="eastAsia"/>
                      <w:color w:val="000000" w:themeColor="text1"/>
                      <w:szCs w:val="21"/>
                      <w14:textFill>
                        <w14:solidFill>
                          <w14:schemeClr w14:val="tx1"/>
                        </w14:solidFill>
                      </w14:textFill>
                    </w:rPr>
                    <w:t>，乳白色粘稠液体，原液或稀释后的水溶液可长期保持稳定，密度</w:t>
                  </w:r>
                  <w:r>
                    <w:rPr>
                      <w:color w:val="000000" w:themeColor="text1"/>
                      <w:szCs w:val="21"/>
                      <w14:textFill>
                        <w14:solidFill>
                          <w14:schemeClr w14:val="tx1"/>
                        </w14:solidFill>
                      </w14:textFill>
                    </w:rPr>
                    <w:t>ρ</w:t>
                  </w:r>
                  <w:r>
                    <w:rPr>
                      <w:rFonts w:hint="eastAsia"/>
                      <w:color w:val="000000" w:themeColor="text1"/>
                      <w:szCs w:val="21"/>
                      <w14:textFill>
                        <w14:solidFill>
                          <w14:schemeClr w14:val="tx1"/>
                        </w14:solidFill>
                      </w14:textFill>
                    </w:rPr>
                    <w:t>=0.96~1.04g/ml</w:t>
                  </w:r>
                </w:p>
              </w:tc>
              <w:tc>
                <w:tcPr>
                  <w:tcW w:w="1361"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w:t>
                  </w:r>
                  <w:r>
                    <w:rPr>
                      <w:color w:val="000000" w:themeColor="text1"/>
                      <w:szCs w:val="21"/>
                      <w14:textFill>
                        <w14:solidFill>
                          <w14:schemeClr w14:val="tx1"/>
                        </w14:solidFill>
                      </w14:textFill>
                    </w:rPr>
                    <w:t>可燃</w:t>
                  </w:r>
                </w:p>
              </w:tc>
              <w:tc>
                <w:tcPr>
                  <w:tcW w:w="1779"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6"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切削液</w:t>
                  </w:r>
                </w:p>
              </w:tc>
              <w:tc>
                <w:tcPr>
                  <w:tcW w:w="4193" w:type="dxa"/>
                  <w:tcBorders>
                    <w:tl2br w:val="nil"/>
                    <w:tr2bl w:val="nil"/>
                  </w:tcBorders>
                  <w:vAlign w:val="center"/>
                </w:tcPr>
                <w:p>
                  <w:pPr>
                    <w:rPr>
                      <w:color w:val="000000"/>
                      <w:szCs w:val="21"/>
                    </w:rPr>
                  </w:pPr>
                  <w:r>
                    <w:rPr>
                      <w:rFonts w:hAnsi="宋体"/>
                      <w:color w:val="000000"/>
                      <w:szCs w:val="21"/>
                    </w:rPr>
                    <w:t>切削液是一种用在金属切削、磨加工过程中，用来冷却和润滑</w:t>
                  </w:r>
                  <w:r>
                    <w:fldChar w:fldCharType="begin"/>
                  </w:r>
                  <w:r>
                    <w:instrText xml:space="preserve">HYPERLINK "https://baike.baidu.com/item/%E5%88%80%E5%85%B7/495981" \t "_blank"</w:instrText>
                  </w:r>
                  <w:r>
                    <w:fldChar w:fldCharType="separate"/>
                  </w:r>
                  <w:r>
                    <w:rPr>
                      <w:rStyle w:val="39"/>
                      <w:rFonts w:hAnsi="宋体"/>
                      <w:color w:val="000000"/>
                    </w:rPr>
                    <w:t>刀具</w:t>
                  </w:r>
                  <w:r>
                    <w:rPr>
                      <w:rStyle w:val="39"/>
                      <w:rFonts w:hAnsi="宋体"/>
                      <w:color w:val="000000"/>
                    </w:rPr>
                    <w:fldChar w:fldCharType="end"/>
                  </w:r>
                  <w:r>
                    <w:rPr>
                      <w:rFonts w:hAnsi="宋体"/>
                      <w:color w:val="000000"/>
                      <w:szCs w:val="21"/>
                    </w:rPr>
                    <w:t>和加工件的工业用液体，切削液由多种超强功能助剂经科学复合配合而成，同时具备良好的冷却性能、润滑性能、防锈性能、除油清洗功能、防腐功能、易稀释特点。克服了传统皂基</w:t>
                  </w:r>
                  <w:r>
                    <w:fldChar w:fldCharType="begin"/>
                  </w:r>
                  <w:r>
                    <w:instrText xml:space="preserve"> HYPERLINK "https://baike.baidu.com/item/%E4%B9%B3%E5%8C%96%E6%B6%B2/5397485" \t "_blank" </w:instrText>
                  </w:r>
                  <w:r>
                    <w:fldChar w:fldCharType="separate"/>
                  </w:r>
                  <w:r>
                    <w:rPr>
                      <w:rStyle w:val="39"/>
                      <w:rFonts w:hAnsi="宋体"/>
                      <w:color w:val="000000"/>
                    </w:rPr>
                    <w:t>乳化液</w:t>
                  </w:r>
                  <w:r>
                    <w:rPr>
                      <w:rStyle w:val="39"/>
                      <w:rFonts w:hAnsi="宋体"/>
                      <w:color w:val="000000"/>
                    </w:rPr>
                    <w:fldChar w:fldCharType="end"/>
                  </w:r>
                  <w:r>
                    <w:rPr>
                      <w:rFonts w:hAnsi="宋体"/>
                      <w:color w:val="000000"/>
                      <w:szCs w:val="21"/>
                    </w:rPr>
                    <w:t>夏天易臭、冬天难稀释、防锈效果差的毛病，对车床漆也无不良影响，适用于黑色金属的切削及磨加工，属当前最领先的磨削产品。切削液各项指标均优于皂化油，它具有良好的冷却、清洗、防锈等特点，并且具备无毒、无味、对人体无侵蚀、对设备不腐蚀、对环境不污染等特点。</w:t>
                  </w:r>
                </w:p>
              </w:tc>
              <w:tc>
                <w:tcPr>
                  <w:tcW w:w="1361"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w:t>
                  </w:r>
                  <w:r>
                    <w:rPr>
                      <w:color w:val="000000" w:themeColor="text1"/>
                      <w:szCs w:val="21"/>
                      <w14:textFill>
                        <w14:solidFill>
                          <w14:schemeClr w14:val="tx1"/>
                        </w14:solidFill>
                      </w14:textFill>
                    </w:rPr>
                    <w:t>可燃</w:t>
                  </w:r>
                </w:p>
              </w:tc>
              <w:tc>
                <w:tcPr>
                  <w:tcW w:w="1779"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6" w:type="dxa"/>
                  <w:tcBorders>
                    <w:tl2br w:val="nil"/>
                    <w:tr2bl w:val="nil"/>
                  </w:tcBorders>
                  <w:vAlign w:val="center"/>
                </w:tcPr>
                <w:p>
                  <w:pPr>
                    <w:pStyle w:val="93"/>
                    <w:adjustRightInd w:val="0"/>
                    <w:snapToGrid w:val="0"/>
                    <w:rPr>
                      <w:rFonts w:ascii="Times New Roman" w:hAnsi="Times New Roman" w:eastAsia="宋体"/>
                      <w:color w:val="000000" w:themeColor="text1"/>
                      <w:lang w:val="en-US"/>
                      <w14:textFill>
                        <w14:solidFill>
                          <w14:schemeClr w14:val="tx1"/>
                        </w14:solidFill>
                      </w14:textFill>
                    </w:rPr>
                  </w:pPr>
                  <w:r>
                    <w:rPr>
                      <w:rFonts w:ascii="Times New Roman" w:hAnsi="Times New Roman" w:eastAsia="宋体"/>
                      <w:lang w:val="en-US"/>
                    </w:rPr>
                    <w:t>塑粉</w:t>
                  </w:r>
                </w:p>
              </w:tc>
              <w:tc>
                <w:tcPr>
                  <w:tcW w:w="4193" w:type="dxa"/>
                  <w:tcBorders>
                    <w:tl2br w:val="nil"/>
                    <w:tr2bl w:val="nil"/>
                  </w:tcBorders>
                  <w:vAlign w:val="center"/>
                </w:tcPr>
                <w:p>
                  <w:pPr>
                    <w:adjustRightInd w:val="0"/>
                    <w:snapToGrid w:val="0"/>
                    <w:jc w:val="center"/>
                    <w:rPr>
                      <w:szCs w:val="21"/>
                    </w:rPr>
                  </w:pPr>
                  <w:r>
                    <w:rPr>
                      <w:szCs w:val="21"/>
                    </w:rPr>
                    <w:t>比重：1.1~1.8（因类型和颜色不同而异）</w:t>
                  </w:r>
                </w:p>
                <w:p>
                  <w:pPr>
                    <w:adjustRightInd w:val="0"/>
                    <w:snapToGrid w:val="0"/>
                    <w:jc w:val="center"/>
                    <w:rPr>
                      <w:szCs w:val="21"/>
                    </w:rPr>
                  </w:pPr>
                  <w:r>
                    <w:rPr>
                      <w:szCs w:val="21"/>
                    </w:rPr>
                    <w:t>水平流动性：18~35mm</w:t>
                  </w:r>
                </w:p>
                <w:p>
                  <w:pPr>
                    <w:adjustRightInd w:val="0"/>
                    <w:snapToGrid w:val="0"/>
                    <w:jc w:val="center"/>
                    <w:rPr>
                      <w:color w:val="000000" w:themeColor="text1"/>
                      <w:szCs w:val="21"/>
                      <w14:textFill>
                        <w14:solidFill>
                          <w14:schemeClr w14:val="tx1"/>
                        </w14:solidFill>
                      </w14:textFill>
                    </w:rPr>
                  </w:pPr>
                  <w:r>
                    <w:rPr>
                      <w:szCs w:val="21"/>
                    </w:rPr>
                    <w:t>粒度分布：100%小于125μm其中85%以上在60~90μm之间。</w:t>
                  </w:r>
                </w:p>
              </w:tc>
              <w:tc>
                <w:tcPr>
                  <w:tcW w:w="1361"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szCs w:val="21"/>
                    </w:rPr>
                    <w:t>易燃</w:t>
                  </w:r>
                </w:p>
              </w:tc>
              <w:tc>
                <w:tcPr>
                  <w:tcW w:w="1779"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rFonts w:ascii="Helvetica" w:hAnsi="Helvetica" w:eastAsia="Helvetica" w:cs="Helvetica"/>
                      <w:color w:val="333333"/>
                      <w:szCs w:val="21"/>
                      <w:shd w:val="clear" w:color="auto" w:fill="FFFFFF"/>
                    </w:rPr>
                    <w:t>无毒</w:t>
                  </w: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szCs w:val="21"/>
              </w:rPr>
            </w:pPr>
            <w:r>
              <w:rPr>
                <w:rFonts w:hint="eastAsia"/>
                <w:b/>
                <w:szCs w:val="21"/>
              </w:rPr>
              <w:t>表2-5主要生产设备清单</w:t>
            </w:r>
          </w:p>
          <w:tbl>
            <w:tblPr>
              <w:tblStyle w:val="33"/>
              <w:tblW w:w="851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27"/>
              <w:gridCol w:w="2305"/>
              <w:gridCol w:w="1428"/>
              <w:gridCol w:w="1741"/>
              <w:gridCol w:w="1305"/>
              <w:gridCol w:w="12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b/>
                      <w:bCs/>
                      <w:szCs w:val="21"/>
                    </w:rPr>
                  </w:pPr>
                  <w:r>
                    <w:rPr>
                      <w:b/>
                      <w:bCs/>
                      <w:szCs w:val="21"/>
                    </w:rPr>
                    <w:t>序号</w:t>
                  </w:r>
                </w:p>
              </w:tc>
              <w:tc>
                <w:tcPr>
                  <w:tcW w:w="1254" w:type="pct"/>
                  <w:vAlign w:val="center"/>
                </w:tcPr>
                <w:p>
                  <w:pPr>
                    <w:snapToGrid w:val="0"/>
                    <w:jc w:val="center"/>
                    <w:rPr>
                      <w:b/>
                      <w:bCs/>
                      <w:szCs w:val="21"/>
                    </w:rPr>
                  </w:pPr>
                  <w:r>
                    <w:rPr>
                      <w:b/>
                      <w:bCs/>
                      <w:szCs w:val="21"/>
                    </w:rPr>
                    <w:t>设备名称</w:t>
                  </w:r>
                </w:p>
              </w:tc>
              <w:tc>
                <w:tcPr>
                  <w:tcW w:w="777" w:type="pct"/>
                  <w:vAlign w:val="center"/>
                </w:tcPr>
                <w:p>
                  <w:pPr>
                    <w:snapToGrid w:val="0"/>
                    <w:jc w:val="center"/>
                    <w:rPr>
                      <w:b/>
                      <w:bCs/>
                      <w:szCs w:val="21"/>
                    </w:rPr>
                  </w:pPr>
                  <w:r>
                    <w:rPr>
                      <w:b/>
                      <w:bCs/>
                      <w:szCs w:val="21"/>
                    </w:rPr>
                    <w:t>规模型号</w:t>
                  </w:r>
                </w:p>
              </w:tc>
              <w:tc>
                <w:tcPr>
                  <w:tcW w:w="947" w:type="pct"/>
                  <w:vAlign w:val="center"/>
                </w:tcPr>
                <w:p>
                  <w:pPr>
                    <w:snapToGrid w:val="0"/>
                    <w:jc w:val="center"/>
                    <w:rPr>
                      <w:b/>
                      <w:bCs/>
                      <w:szCs w:val="21"/>
                    </w:rPr>
                  </w:pPr>
                  <w:r>
                    <w:rPr>
                      <w:b/>
                      <w:bCs/>
                      <w:szCs w:val="21"/>
                    </w:rPr>
                    <w:t>数量（台套）</w:t>
                  </w:r>
                </w:p>
              </w:tc>
              <w:tc>
                <w:tcPr>
                  <w:tcW w:w="710" w:type="pct"/>
                  <w:vAlign w:val="center"/>
                </w:tcPr>
                <w:p>
                  <w:pPr>
                    <w:snapToGrid w:val="0"/>
                    <w:jc w:val="center"/>
                    <w:rPr>
                      <w:b/>
                      <w:bCs/>
                      <w:szCs w:val="21"/>
                    </w:rPr>
                  </w:pPr>
                  <w:r>
                    <w:rPr>
                      <w:b/>
                      <w:bCs/>
                      <w:szCs w:val="21"/>
                    </w:rPr>
                    <w:t>产地</w:t>
                  </w:r>
                </w:p>
              </w:tc>
              <w:tc>
                <w:tcPr>
                  <w:tcW w:w="660" w:type="pct"/>
                  <w:vAlign w:val="center"/>
                </w:tcPr>
                <w:p>
                  <w:pPr>
                    <w:snapToGrid w:val="0"/>
                    <w:jc w:val="center"/>
                    <w:rPr>
                      <w:b/>
                      <w:bCs/>
                      <w:szCs w:val="21"/>
                    </w:rPr>
                  </w:pPr>
                  <w:r>
                    <w:rPr>
                      <w:b/>
                      <w:bCs/>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1</w:t>
                  </w:r>
                </w:p>
              </w:tc>
              <w:tc>
                <w:tcPr>
                  <w:tcW w:w="1254" w:type="pct"/>
                  <w:vAlign w:val="center"/>
                </w:tcPr>
                <w:p>
                  <w:pPr>
                    <w:widowControl/>
                    <w:jc w:val="center"/>
                    <w:rPr>
                      <w:szCs w:val="21"/>
                    </w:rPr>
                  </w:pPr>
                  <w:r>
                    <w:rPr>
                      <w:szCs w:val="21"/>
                    </w:rPr>
                    <w:t>压铸机</w:t>
                  </w:r>
                </w:p>
              </w:tc>
              <w:tc>
                <w:tcPr>
                  <w:tcW w:w="777" w:type="pct"/>
                  <w:vAlign w:val="center"/>
                </w:tcPr>
                <w:p>
                  <w:pPr>
                    <w:widowControl/>
                    <w:jc w:val="center"/>
                    <w:rPr>
                      <w:szCs w:val="21"/>
                    </w:rPr>
                  </w:pPr>
                  <w:r>
                    <w:rPr>
                      <w:szCs w:val="21"/>
                    </w:rPr>
                    <w:t>DCC400</w:t>
                  </w:r>
                </w:p>
              </w:tc>
              <w:tc>
                <w:tcPr>
                  <w:tcW w:w="947" w:type="pct"/>
                  <w:vAlign w:val="center"/>
                </w:tcPr>
                <w:p>
                  <w:pPr>
                    <w:widowControl/>
                    <w:jc w:val="center"/>
                    <w:rPr>
                      <w:szCs w:val="21"/>
                    </w:rPr>
                  </w:pPr>
                  <w:r>
                    <w:rPr>
                      <w:szCs w:val="21"/>
                    </w:rPr>
                    <w:t>2</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2</w:t>
                  </w:r>
                </w:p>
              </w:tc>
              <w:tc>
                <w:tcPr>
                  <w:tcW w:w="1254" w:type="pct"/>
                  <w:vAlign w:val="center"/>
                </w:tcPr>
                <w:p>
                  <w:pPr>
                    <w:widowControl/>
                    <w:jc w:val="center"/>
                    <w:rPr>
                      <w:szCs w:val="21"/>
                    </w:rPr>
                  </w:pPr>
                  <w:r>
                    <w:rPr>
                      <w:szCs w:val="21"/>
                    </w:rPr>
                    <w:t>熔铝保温炉</w:t>
                  </w:r>
                </w:p>
              </w:tc>
              <w:tc>
                <w:tcPr>
                  <w:tcW w:w="777" w:type="pct"/>
                  <w:vAlign w:val="center"/>
                </w:tcPr>
                <w:p>
                  <w:pPr>
                    <w:widowControl/>
                    <w:jc w:val="center"/>
                    <w:rPr>
                      <w:szCs w:val="21"/>
                    </w:rPr>
                  </w:pPr>
                  <w:r>
                    <w:rPr>
                      <w:szCs w:val="21"/>
                    </w:rPr>
                    <w:t>400kg</w:t>
                  </w:r>
                </w:p>
              </w:tc>
              <w:tc>
                <w:tcPr>
                  <w:tcW w:w="947" w:type="pct"/>
                  <w:vAlign w:val="center"/>
                </w:tcPr>
                <w:p>
                  <w:pPr>
                    <w:widowControl/>
                    <w:jc w:val="center"/>
                    <w:rPr>
                      <w:szCs w:val="21"/>
                    </w:rPr>
                  </w:pPr>
                  <w:r>
                    <w:rPr>
                      <w:szCs w:val="21"/>
                    </w:rPr>
                    <w:t>2</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3</w:t>
                  </w:r>
                </w:p>
              </w:tc>
              <w:tc>
                <w:tcPr>
                  <w:tcW w:w="1254" w:type="pct"/>
                  <w:vAlign w:val="center"/>
                </w:tcPr>
                <w:p>
                  <w:pPr>
                    <w:widowControl/>
                    <w:jc w:val="center"/>
                    <w:rPr>
                      <w:szCs w:val="21"/>
                    </w:rPr>
                  </w:pPr>
                  <w:r>
                    <w:rPr>
                      <w:szCs w:val="21"/>
                    </w:rPr>
                    <w:t>压铸机</w:t>
                  </w:r>
                </w:p>
              </w:tc>
              <w:tc>
                <w:tcPr>
                  <w:tcW w:w="777" w:type="pct"/>
                  <w:vAlign w:val="center"/>
                </w:tcPr>
                <w:p>
                  <w:pPr>
                    <w:widowControl/>
                    <w:jc w:val="center"/>
                    <w:rPr>
                      <w:szCs w:val="21"/>
                    </w:rPr>
                  </w:pPr>
                  <w:r>
                    <w:rPr>
                      <w:szCs w:val="21"/>
                    </w:rPr>
                    <w:t>JS320</w:t>
                  </w:r>
                </w:p>
              </w:tc>
              <w:tc>
                <w:tcPr>
                  <w:tcW w:w="947" w:type="pct"/>
                  <w:vAlign w:val="center"/>
                </w:tcPr>
                <w:p>
                  <w:pPr>
                    <w:widowControl/>
                    <w:jc w:val="center"/>
                    <w:rPr>
                      <w:szCs w:val="21"/>
                    </w:rPr>
                  </w:pPr>
                  <w:r>
                    <w:rPr>
                      <w:szCs w:val="21"/>
                    </w:rPr>
                    <w:t>1</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4</w:t>
                  </w:r>
                </w:p>
              </w:tc>
              <w:tc>
                <w:tcPr>
                  <w:tcW w:w="1254" w:type="pct"/>
                  <w:vAlign w:val="center"/>
                </w:tcPr>
                <w:p>
                  <w:pPr>
                    <w:widowControl/>
                    <w:jc w:val="center"/>
                    <w:rPr>
                      <w:szCs w:val="21"/>
                    </w:rPr>
                  </w:pPr>
                  <w:r>
                    <w:rPr>
                      <w:szCs w:val="21"/>
                    </w:rPr>
                    <w:t>压铸机</w:t>
                  </w:r>
                </w:p>
              </w:tc>
              <w:tc>
                <w:tcPr>
                  <w:tcW w:w="777" w:type="pct"/>
                  <w:vAlign w:val="center"/>
                </w:tcPr>
                <w:p>
                  <w:pPr>
                    <w:widowControl/>
                    <w:jc w:val="center"/>
                    <w:rPr>
                      <w:szCs w:val="21"/>
                    </w:rPr>
                  </w:pPr>
                  <w:r>
                    <w:rPr>
                      <w:szCs w:val="21"/>
                    </w:rPr>
                    <w:t>JS228</w:t>
                  </w:r>
                </w:p>
              </w:tc>
              <w:tc>
                <w:tcPr>
                  <w:tcW w:w="947" w:type="pct"/>
                  <w:vAlign w:val="center"/>
                </w:tcPr>
                <w:p>
                  <w:pPr>
                    <w:widowControl/>
                    <w:jc w:val="center"/>
                    <w:rPr>
                      <w:szCs w:val="21"/>
                    </w:rPr>
                  </w:pPr>
                  <w:r>
                    <w:rPr>
                      <w:szCs w:val="21"/>
                    </w:rPr>
                    <w:t>1</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5</w:t>
                  </w:r>
                </w:p>
              </w:tc>
              <w:tc>
                <w:tcPr>
                  <w:tcW w:w="1254" w:type="pct"/>
                  <w:vAlign w:val="center"/>
                </w:tcPr>
                <w:p>
                  <w:pPr>
                    <w:widowControl/>
                    <w:jc w:val="center"/>
                    <w:rPr>
                      <w:kern w:val="0"/>
                      <w:szCs w:val="21"/>
                      <w:lang w:bidi="ar"/>
                    </w:rPr>
                  </w:pPr>
                  <w:r>
                    <w:rPr>
                      <w:szCs w:val="21"/>
                    </w:rPr>
                    <w:t>熔铝保温炉</w:t>
                  </w:r>
                </w:p>
              </w:tc>
              <w:tc>
                <w:tcPr>
                  <w:tcW w:w="777" w:type="pct"/>
                  <w:vAlign w:val="center"/>
                </w:tcPr>
                <w:p>
                  <w:pPr>
                    <w:widowControl/>
                    <w:jc w:val="center"/>
                    <w:rPr>
                      <w:kern w:val="0"/>
                      <w:szCs w:val="21"/>
                      <w:lang w:bidi="ar"/>
                    </w:rPr>
                  </w:pPr>
                  <w:r>
                    <w:rPr>
                      <w:szCs w:val="21"/>
                    </w:rPr>
                    <w:t>250kg</w:t>
                  </w:r>
                </w:p>
              </w:tc>
              <w:tc>
                <w:tcPr>
                  <w:tcW w:w="947" w:type="pct"/>
                  <w:vAlign w:val="center"/>
                </w:tcPr>
                <w:p>
                  <w:pPr>
                    <w:widowControl/>
                    <w:jc w:val="center"/>
                    <w:rPr>
                      <w:kern w:val="0"/>
                      <w:szCs w:val="21"/>
                      <w:lang w:bidi="ar"/>
                    </w:rPr>
                  </w:pPr>
                  <w:r>
                    <w:rPr>
                      <w:szCs w:val="21"/>
                    </w:rPr>
                    <w:t>2</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6</w:t>
                  </w:r>
                </w:p>
              </w:tc>
              <w:tc>
                <w:tcPr>
                  <w:tcW w:w="1254" w:type="pct"/>
                  <w:vAlign w:val="center"/>
                </w:tcPr>
                <w:p>
                  <w:pPr>
                    <w:widowControl/>
                    <w:jc w:val="center"/>
                    <w:rPr>
                      <w:szCs w:val="21"/>
                    </w:rPr>
                  </w:pPr>
                  <w:r>
                    <w:rPr>
                      <w:szCs w:val="21"/>
                    </w:rPr>
                    <w:t>压铸机</w:t>
                  </w:r>
                </w:p>
              </w:tc>
              <w:tc>
                <w:tcPr>
                  <w:tcW w:w="777" w:type="pct"/>
                  <w:vAlign w:val="center"/>
                </w:tcPr>
                <w:p>
                  <w:pPr>
                    <w:widowControl/>
                    <w:jc w:val="center"/>
                    <w:rPr>
                      <w:szCs w:val="21"/>
                    </w:rPr>
                  </w:pPr>
                  <w:r>
                    <w:rPr>
                      <w:szCs w:val="21"/>
                    </w:rPr>
                    <w:t>DCC600</w:t>
                  </w:r>
                </w:p>
              </w:tc>
              <w:tc>
                <w:tcPr>
                  <w:tcW w:w="947" w:type="pct"/>
                  <w:vAlign w:val="center"/>
                </w:tcPr>
                <w:p>
                  <w:pPr>
                    <w:widowControl/>
                    <w:jc w:val="center"/>
                    <w:rPr>
                      <w:szCs w:val="21"/>
                    </w:rPr>
                  </w:pPr>
                  <w:r>
                    <w:rPr>
                      <w:szCs w:val="21"/>
                    </w:rPr>
                    <w:t>1</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7</w:t>
                  </w:r>
                </w:p>
              </w:tc>
              <w:tc>
                <w:tcPr>
                  <w:tcW w:w="1254" w:type="pct"/>
                  <w:vAlign w:val="center"/>
                </w:tcPr>
                <w:p>
                  <w:pPr>
                    <w:widowControl/>
                    <w:jc w:val="center"/>
                    <w:rPr>
                      <w:szCs w:val="21"/>
                    </w:rPr>
                  </w:pPr>
                  <w:r>
                    <w:rPr>
                      <w:szCs w:val="21"/>
                    </w:rPr>
                    <w:t>熔铝保温炉</w:t>
                  </w:r>
                </w:p>
              </w:tc>
              <w:tc>
                <w:tcPr>
                  <w:tcW w:w="777" w:type="pct"/>
                  <w:vAlign w:val="center"/>
                </w:tcPr>
                <w:p>
                  <w:pPr>
                    <w:widowControl/>
                    <w:jc w:val="center"/>
                    <w:rPr>
                      <w:szCs w:val="21"/>
                    </w:rPr>
                  </w:pPr>
                  <w:r>
                    <w:rPr>
                      <w:rFonts w:hint="eastAsia"/>
                      <w:szCs w:val="21"/>
                    </w:rPr>
                    <w:t>6</w:t>
                  </w:r>
                  <w:r>
                    <w:rPr>
                      <w:szCs w:val="21"/>
                    </w:rPr>
                    <w:t>00kg</w:t>
                  </w:r>
                </w:p>
              </w:tc>
              <w:tc>
                <w:tcPr>
                  <w:tcW w:w="947" w:type="pct"/>
                  <w:vAlign w:val="center"/>
                </w:tcPr>
                <w:p>
                  <w:pPr>
                    <w:widowControl/>
                    <w:jc w:val="center"/>
                    <w:rPr>
                      <w:szCs w:val="21"/>
                    </w:rPr>
                  </w:pPr>
                  <w:r>
                    <w:rPr>
                      <w:szCs w:val="21"/>
                    </w:rPr>
                    <w:t>1</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8</w:t>
                  </w:r>
                </w:p>
              </w:tc>
              <w:tc>
                <w:tcPr>
                  <w:tcW w:w="1254" w:type="pct"/>
                  <w:vAlign w:val="center"/>
                </w:tcPr>
                <w:p>
                  <w:pPr>
                    <w:widowControl/>
                    <w:jc w:val="center"/>
                    <w:rPr>
                      <w:szCs w:val="21"/>
                    </w:rPr>
                  </w:pPr>
                  <w:r>
                    <w:rPr>
                      <w:szCs w:val="21"/>
                    </w:rPr>
                    <w:t>空压机</w:t>
                  </w:r>
                </w:p>
              </w:tc>
              <w:tc>
                <w:tcPr>
                  <w:tcW w:w="777" w:type="pct"/>
                  <w:vAlign w:val="center"/>
                </w:tcPr>
                <w:p>
                  <w:pPr>
                    <w:widowControl/>
                    <w:jc w:val="center"/>
                    <w:rPr>
                      <w:szCs w:val="21"/>
                    </w:rPr>
                  </w:pPr>
                  <w:r>
                    <w:rPr>
                      <w:szCs w:val="21"/>
                    </w:rPr>
                    <w:t>ZLS30-2I/8</w:t>
                  </w:r>
                </w:p>
              </w:tc>
              <w:tc>
                <w:tcPr>
                  <w:tcW w:w="947" w:type="pct"/>
                  <w:vAlign w:val="center"/>
                </w:tcPr>
                <w:p>
                  <w:pPr>
                    <w:widowControl/>
                    <w:jc w:val="center"/>
                    <w:rPr>
                      <w:szCs w:val="21"/>
                    </w:rPr>
                  </w:pPr>
                  <w:r>
                    <w:rPr>
                      <w:szCs w:val="21"/>
                    </w:rPr>
                    <w:t>2</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9</w:t>
                  </w:r>
                </w:p>
              </w:tc>
              <w:tc>
                <w:tcPr>
                  <w:tcW w:w="1254" w:type="pct"/>
                  <w:vAlign w:val="center"/>
                </w:tcPr>
                <w:p>
                  <w:pPr>
                    <w:widowControl/>
                    <w:jc w:val="center"/>
                    <w:rPr>
                      <w:szCs w:val="21"/>
                    </w:rPr>
                  </w:pPr>
                  <w:r>
                    <w:rPr>
                      <w:szCs w:val="21"/>
                    </w:rPr>
                    <w:t>行车</w:t>
                  </w:r>
                </w:p>
              </w:tc>
              <w:tc>
                <w:tcPr>
                  <w:tcW w:w="777" w:type="pct"/>
                  <w:vAlign w:val="center"/>
                </w:tcPr>
                <w:p>
                  <w:pPr>
                    <w:widowControl/>
                    <w:jc w:val="center"/>
                    <w:rPr>
                      <w:szCs w:val="21"/>
                    </w:rPr>
                  </w:pPr>
                  <w:r>
                    <w:rPr>
                      <w:szCs w:val="21"/>
                    </w:rPr>
                    <w:t>2t</w:t>
                  </w:r>
                </w:p>
              </w:tc>
              <w:tc>
                <w:tcPr>
                  <w:tcW w:w="947" w:type="pct"/>
                  <w:vAlign w:val="center"/>
                </w:tcPr>
                <w:p>
                  <w:pPr>
                    <w:widowControl/>
                    <w:jc w:val="center"/>
                    <w:rPr>
                      <w:szCs w:val="21"/>
                    </w:rPr>
                  </w:pPr>
                  <w:r>
                    <w:rPr>
                      <w:szCs w:val="21"/>
                    </w:rPr>
                    <w:t>1</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10</w:t>
                  </w:r>
                </w:p>
              </w:tc>
              <w:tc>
                <w:tcPr>
                  <w:tcW w:w="1254" w:type="pct"/>
                  <w:vAlign w:val="center"/>
                </w:tcPr>
                <w:p>
                  <w:pPr>
                    <w:widowControl/>
                    <w:jc w:val="center"/>
                    <w:rPr>
                      <w:kern w:val="0"/>
                      <w:szCs w:val="21"/>
                      <w:lang w:bidi="ar"/>
                    </w:rPr>
                  </w:pPr>
                  <w:r>
                    <w:rPr>
                      <w:szCs w:val="21"/>
                    </w:rPr>
                    <w:t>抛丸机</w:t>
                  </w:r>
                </w:p>
              </w:tc>
              <w:tc>
                <w:tcPr>
                  <w:tcW w:w="777" w:type="pct"/>
                  <w:vAlign w:val="center"/>
                </w:tcPr>
                <w:p>
                  <w:pPr>
                    <w:widowControl/>
                    <w:jc w:val="center"/>
                    <w:rPr>
                      <w:kern w:val="0"/>
                      <w:szCs w:val="21"/>
                      <w:lang w:bidi="ar"/>
                    </w:rPr>
                  </w:pPr>
                  <w:r>
                    <w:rPr>
                      <w:szCs w:val="21"/>
                    </w:rPr>
                    <w:t>Q326</w:t>
                  </w:r>
                </w:p>
              </w:tc>
              <w:tc>
                <w:tcPr>
                  <w:tcW w:w="947" w:type="pct"/>
                  <w:vAlign w:val="center"/>
                </w:tcPr>
                <w:p>
                  <w:pPr>
                    <w:widowControl/>
                    <w:jc w:val="center"/>
                    <w:rPr>
                      <w:kern w:val="0"/>
                      <w:szCs w:val="21"/>
                      <w:lang w:bidi="ar"/>
                    </w:rPr>
                  </w:pPr>
                  <w:r>
                    <w:rPr>
                      <w:szCs w:val="21"/>
                    </w:rPr>
                    <w:t>2</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11</w:t>
                  </w:r>
                </w:p>
              </w:tc>
              <w:tc>
                <w:tcPr>
                  <w:tcW w:w="1254" w:type="pct"/>
                  <w:vAlign w:val="center"/>
                </w:tcPr>
                <w:p>
                  <w:pPr>
                    <w:widowControl/>
                    <w:jc w:val="center"/>
                    <w:rPr>
                      <w:szCs w:val="21"/>
                    </w:rPr>
                  </w:pPr>
                  <w:r>
                    <w:rPr>
                      <w:szCs w:val="21"/>
                    </w:rPr>
                    <w:t>振动研磨机</w:t>
                  </w:r>
                </w:p>
              </w:tc>
              <w:tc>
                <w:tcPr>
                  <w:tcW w:w="777" w:type="pct"/>
                  <w:vAlign w:val="center"/>
                </w:tcPr>
                <w:p>
                  <w:pPr>
                    <w:widowControl/>
                    <w:jc w:val="center"/>
                    <w:rPr>
                      <w:szCs w:val="21"/>
                    </w:rPr>
                  </w:pPr>
                  <w:r>
                    <w:rPr>
                      <w:szCs w:val="21"/>
                    </w:rPr>
                    <w:t>400L</w:t>
                  </w:r>
                </w:p>
              </w:tc>
              <w:tc>
                <w:tcPr>
                  <w:tcW w:w="947" w:type="pct"/>
                  <w:vAlign w:val="center"/>
                </w:tcPr>
                <w:p>
                  <w:pPr>
                    <w:widowControl/>
                    <w:jc w:val="center"/>
                    <w:rPr>
                      <w:szCs w:val="21"/>
                    </w:rPr>
                  </w:pPr>
                  <w:r>
                    <w:rPr>
                      <w:szCs w:val="21"/>
                    </w:rPr>
                    <w:t>2</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12</w:t>
                  </w:r>
                </w:p>
              </w:tc>
              <w:tc>
                <w:tcPr>
                  <w:tcW w:w="1254" w:type="pct"/>
                  <w:vAlign w:val="center"/>
                </w:tcPr>
                <w:p>
                  <w:pPr>
                    <w:widowControl/>
                    <w:jc w:val="center"/>
                    <w:rPr>
                      <w:szCs w:val="21"/>
                    </w:rPr>
                  </w:pPr>
                  <w:r>
                    <w:rPr>
                      <w:szCs w:val="21"/>
                    </w:rPr>
                    <w:t>高频加热机</w:t>
                  </w:r>
                </w:p>
              </w:tc>
              <w:tc>
                <w:tcPr>
                  <w:tcW w:w="777" w:type="pct"/>
                  <w:vAlign w:val="center"/>
                </w:tcPr>
                <w:p>
                  <w:pPr>
                    <w:widowControl/>
                    <w:jc w:val="center"/>
                    <w:rPr>
                      <w:szCs w:val="21"/>
                    </w:rPr>
                  </w:pPr>
                  <w:r>
                    <w:rPr>
                      <w:szCs w:val="21"/>
                    </w:rPr>
                    <w:t>SPQ-45B</w:t>
                  </w:r>
                </w:p>
              </w:tc>
              <w:tc>
                <w:tcPr>
                  <w:tcW w:w="947" w:type="pct"/>
                  <w:vAlign w:val="center"/>
                </w:tcPr>
                <w:p>
                  <w:pPr>
                    <w:widowControl/>
                    <w:jc w:val="center"/>
                    <w:rPr>
                      <w:szCs w:val="21"/>
                    </w:rPr>
                  </w:pPr>
                  <w:r>
                    <w:rPr>
                      <w:szCs w:val="21"/>
                    </w:rPr>
                    <w:t>3</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13</w:t>
                  </w:r>
                </w:p>
              </w:tc>
              <w:tc>
                <w:tcPr>
                  <w:tcW w:w="1254" w:type="pct"/>
                  <w:vAlign w:val="center"/>
                </w:tcPr>
                <w:p>
                  <w:pPr>
                    <w:widowControl/>
                    <w:jc w:val="center"/>
                    <w:rPr>
                      <w:szCs w:val="21"/>
                    </w:rPr>
                  </w:pPr>
                  <w:r>
                    <w:rPr>
                      <w:szCs w:val="21"/>
                    </w:rPr>
                    <w:t>压机</w:t>
                  </w:r>
                </w:p>
              </w:tc>
              <w:tc>
                <w:tcPr>
                  <w:tcW w:w="777" w:type="pct"/>
                  <w:vAlign w:val="center"/>
                </w:tcPr>
                <w:p>
                  <w:pPr>
                    <w:widowControl/>
                    <w:jc w:val="center"/>
                    <w:rPr>
                      <w:szCs w:val="21"/>
                    </w:rPr>
                  </w:pPr>
                  <w:r>
                    <w:rPr>
                      <w:szCs w:val="21"/>
                    </w:rPr>
                    <w:t>JH21-160</w:t>
                  </w:r>
                </w:p>
              </w:tc>
              <w:tc>
                <w:tcPr>
                  <w:tcW w:w="947" w:type="pct"/>
                  <w:vAlign w:val="center"/>
                </w:tcPr>
                <w:p>
                  <w:pPr>
                    <w:widowControl/>
                    <w:jc w:val="center"/>
                    <w:rPr>
                      <w:szCs w:val="21"/>
                    </w:rPr>
                  </w:pPr>
                  <w:r>
                    <w:rPr>
                      <w:szCs w:val="21"/>
                    </w:rPr>
                    <w:t>3</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14</w:t>
                  </w:r>
                </w:p>
              </w:tc>
              <w:tc>
                <w:tcPr>
                  <w:tcW w:w="1254" w:type="pct"/>
                  <w:vAlign w:val="center"/>
                </w:tcPr>
                <w:p>
                  <w:pPr>
                    <w:widowControl/>
                    <w:jc w:val="center"/>
                    <w:rPr>
                      <w:szCs w:val="21"/>
                    </w:rPr>
                  </w:pPr>
                  <w:r>
                    <w:rPr>
                      <w:szCs w:val="21"/>
                    </w:rPr>
                    <w:t>喷塑生产线</w:t>
                  </w:r>
                </w:p>
              </w:tc>
              <w:tc>
                <w:tcPr>
                  <w:tcW w:w="777" w:type="pct"/>
                  <w:vAlign w:val="center"/>
                </w:tcPr>
                <w:p>
                  <w:pPr>
                    <w:widowControl/>
                    <w:jc w:val="center"/>
                    <w:rPr>
                      <w:szCs w:val="21"/>
                    </w:rPr>
                  </w:pPr>
                  <w:r>
                    <w:rPr>
                      <w:szCs w:val="21"/>
                    </w:rPr>
                    <w:t>双回路烘道0.8*1.2*24m</w:t>
                  </w:r>
                </w:p>
              </w:tc>
              <w:tc>
                <w:tcPr>
                  <w:tcW w:w="947" w:type="pct"/>
                  <w:vAlign w:val="center"/>
                </w:tcPr>
                <w:p>
                  <w:pPr>
                    <w:widowControl/>
                    <w:jc w:val="center"/>
                    <w:rPr>
                      <w:szCs w:val="21"/>
                    </w:rPr>
                  </w:pPr>
                  <w:r>
                    <w:rPr>
                      <w:szCs w:val="21"/>
                    </w:rPr>
                    <w:t>1</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15</w:t>
                  </w:r>
                </w:p>
              </w:tc>
              <w:tc>
                <w:tcPr>
                  <w:tcW w:w="1254" w:type="pct"/>
                  <w:vAlign w:val="center"/>
                </w:tcPr>
                <w:p>
                  <w:pPr>
                    <w:widowControl/>
                    <w:jc w:val="center"/>
                    <w:rPr>
                      <w:szCs w:val="21"/>
                    </w:rPr>
                  </w:pPr>
                  <w:r>
                    <w:rPr>
                      <w:szCs w:val="21"/>
                    </w:rPr>
                    <w:t>数控车床</w:t>
                  </w:r>
                </w:p>
              </w:tc>
              <w:tc>
                <w:tcPr>
                  <w:tcW w:w="777" w:type="pct"/>
                  <w:vAlign w:val="center"/>
                </w:tcPr>
                <w:p>
                  <w:pPr>
                    <w:widowControl/>
                    <w:jc w:val="center"/>
                    <w:rPr>
                      <w:szCs w:val="21"/>
                    </w:rPr>
                  </w:pPr>
                  <w:r>
                    <w:rPr>
                      <w:szCs w:val="21"/>
                    </w:rPr>
                    <w:t>6130、6132、6150</w:t>
                  </w:r>
                </w:p>
              </w:tc>
              <w:tc>
                <w:tcPr>
                  <w:tcW w:w="947" w:type="pct"/>
                  <w:vAlign w:val="center"/>
                </w:tcPr>
                <w:p>
                  <w:pPr>
                    <w:widowControl/>
                    <w:jc w:val="center"/>
                    <w:rPr>
                      <w:szCs w:val="21"/>
                    </w:rPr>
                  </w:pPr>
                  <w:r>
                    <w:rPr>
                      <w:szCs w:val="21"/>
                    </w:rPr>
                    <w:t>19</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16</w:t>
                  </w:r>
                </w:p>
              </w:tc>
              <w:tc>
                <w:tcPr>
                  <w:tcW w:w="1254" w:type="pct"/>
                  <w:vAlign w:val="center"/>
                </w:tcPr>
                <w:p>
                  <w:pPr>
                    <w:widowControl/>
                    <w:jc w:val="center"/>
                    <w:rPr>
                      <w:kern w:val="0"/>
                      <w:szCs w:val="21"/>
                      <w:lang w:bidi="ar"/>
                    </w:rPr>
                  </w:pPr>
                  <w:r>
                    <w:rPr>
                      <w:szCs w:val="21"/>
                    </w:rPr>
                    <w:t>加工中心</w:t>
                  </w:r>
                </w:p>
              </w:tc>
              <w:tc>
                <w:tcPr>
                  <w:tcW w:w="777" w:type="pct"/>
                  <w:vAlign w:val="center"/>
                </w:tcPr>
                <w:p>
                  <w:pPr>
                    <w:widowControl/>
                    <w:jc w:val="center"/>
                    <w:rPr>
                      <w:kern w:val="0"/>
                      <w:szCs w:val="21"/>
                      <w:lang w:bidi="ar"/>
                    </w:rPr>
                  </w:pPr>
                  <w:r>
                    <w:rPr>
                      <w:szCs w:val="21"/>
                    </w:rPr>
                    <w:t>ME800</w:t>
                  </w:r>
                </w:p>
              </w:tc>
              <w:tc>
                <w:tcPr>
                  <w:tcW w:w="947" w:type="pct"/>
                  <w:vAlign w:val="center"/>
                </w:tcPr>
                <w:p>
                  <w:pPr>
                    <w:widowControl/>
                    <w:jc w:val="center"/>
                    <w:rPr>
                      <w:szCs w:val="21"/>
                    </w:rPr>
                  </w:pPr>
                  <w:r>
                    <w:rPr>
                      <w:szCs w:val="21"/>
                    </w:rPr>
                    <w:t>1</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17</w:t>
                  </w:r>
                </w:p>
              </w:tc>
              <w:tc>
                <w:tcPr>
                  <w:tcW w:w="1254" w:type="pct"/>
                  <w:vAlign w:val="center"/>
                </w:tcPr>
                <w:p>
                  <w:pPr>
                    <w:widowControl/>
                    <w:jc w:val="center"/>
                    <w:rPr>
                      <w:kern w:val="0"/>
                      <w:szCs w:val="21"/>
                      <w:lang w:bidi="ar"/>
                    </w:rPr>
                  </w:pPr>
                  <w:r>
                    <w:rPr>
                      <w:szCs w:val="21"/>
                    </w:rPr>
                    <w:t>混合搅拌机</w:t>
                  </w:r>
                </w:p>
              </w:tc>
              <w:tc>
                <w:tcPr>
                  <w:tcW w:w="777" w:type="pct"/>
                  <w:vAlign w:val="center"/>
                </w:tcPr>
                <w:p>
                  <w:pPr>
                    <w:widowControl/>
                    <w:jc w:val="center"/>
                    <w:rPr>
                      <w:kern w:val="0"/>
                      <w:szCs w:val="21"/>
                      <w:lang w:bidi="ar"/>
                    </w:rPr>
                  </w:pPr>
                  <w:r>
                    <w:rPr>
                      <w:szCs w:val="21"/>
                    </w:rPr>
                    <w:t>500L</w:t>
                  </w:r>
                </w:p>
              </w:tc>
              <w:tc>
                <w:tcPr>
                  <w:tcW w:w="947" w:type="pct"/>
                  <w:vAlign w:val="center"/>
                </w:tcPr>
                <w:p>
                  <w:pPr>
                    <w:widowControl/>
                    <w:jc w:val="center"/>
                    <w:rPr>
                      <w:szCs w:val="21"/>
                    </w:rPr>
                  </w:pPr>
                  <w:r>
                    <w:rPr>
                      <w:szCs w:val="21"/>
                    </w:rPr>
                    <w:t>3</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rFonts w:hint="eastAsia"/>
                      <w:szCs w:val="21"/>
                    </w:rPr>
                    <w:t>18</w:t>
                  </w:r>
                </w:p>
              </w:tc>
              <w:tc>
                <w:tcPr>
                  <w:tcW w:w="1254" w:type="pct"/>
                  <w:vAlign w:val="center"/>
                </w:tcPr>
                <w:p>
                  <w:pPr>
                    <w:widowControl/>
                    <w:jc w:val="center"/>
                    <w:rPr>
                      <w:szCs w:val="21"/>
                    </w:rPr>
                  </w:pPr>
                  <w:r>
                    <w:rPr>
                      <w:szCs w:val="21"/>
                    </w:rPr>
                    <w:t>装配生产线</w:t>
                  </w:r>
                </w:p>
              </w:tc>
              <w:tc>
                <w:tcPr>
                  <w:tcW w:w="777" w:type="pct"/>
                  <w:vAlign w:val="center"/>
                </w:tcPr>
                <w:p>
                  <w:pPr>
                    <w:widowControl/>
                    <w:jc w:val="center"/>
                    <w:rPr>
                      <w:szCs w:val="21"/>
                    </w:rPr>
                  </w:pPr>
                  <w:r>
                    <w:rPr>
                      <w:szCs w:val="21"/>
                    </w:rPr>
                    <w:t>30-60m</w:t>
                  </w:r>
                </w:p>
              </w:tc>
              <w:tc>
                <w:tcPr>
                  <w:tcW w:w="947" w:type="pct"/>
                  <w:vAlign w:val="center"/>
                </w:tcPr>
                <w:p>
                  <w:pPr>
                    <w:widowControl/>
                    <w:jc w:val="center"/>
                    <w:rPr>
                      <w:szCs w:val="21"/>
                    </w:rPr>
                  </w:pPr>
                  <w:r>
                    <w:rPr>
                      <w:szCs w:val="21"/>
                    </w:rPr>
                    <w:t>2</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19</w:t>
                  </w:r>
                </w:p>
              </w:tc>
              <w:tc>
                <w:tcPr>
                  <w:tcW w:w="1254" w:type="pct"/>
                  <w:vAlign w:val="center"/>
                </w:tcPr>
                <w:p>
                  <w:pPr>
                    <w:widowControl/>
                    <w:jc w:val="center"/>
                    <w:rPr>
                      <w:kern w:val="0"/>
                      <w:szCs w:val="21"/>
                      <w:lang w:bidi="ar"/>
                    </w:rPr>
                  </w:pPr>
                  <w:r>
                    <w:rPr>
                      <w:szCs w:val="21"/>
                    </w:rPr>
                    <w:t>挤管机</w:t>
                  </w:r>
                </w:p>
              </w:tc>
              <w:tc>
                <w:tcPr>
                  <w:tcW w:w="777" w:type="pct"/>
                  <w:vAlign w:val="center"/>
                </w:tcPr>
                <w:p>
                  <w:pPr>
                    <w:widowControl/>
                    <w:jc w:val="center"/>
                    <w:rPr>
                      <w:kern w:val="0"/>
                      <w:szCs w:val="21"/>
                      <w:lang w:bidi="ar"/>
                    </w:rPr>
                  </w:pPr>
                  <w:r>
                    <w:rPr>
                      <w:szCs w:val="21"/>
                    </w:rPr>
                    <w:t>65-95</w:t>
                  </w:r>
                </w:p>
              </w:tc>
              <w:tc>
                <w:tcPr>
                  <w:tcW w:w="947" w:type="pct"/>
                  <w:vAlign w:val="center"/>
                </w:tcPr>
                <w:p>
                  <w:pPr>
                    <w:widowControl/>
                    <w:jc w:val="center"/>
                    <w:rPr>
                      <w:szCs w:val="21"/>
                    </w:rPr>
                  </w:pPr>
                  <w:r>
                    <w:rPr>
                      <w:szCs w:val="21"/>
                    </w:rPr>
                    <w:t>7</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20</w:t>
                  </w:r>
                </w:p>
              </w:tc>
              <w:tc>
                <w:tcPr>
                  <w:tcW w:w="1254" w:type="pct"/>
                  <w:vAlign w:val="center"/>
                </w:tcPr>
                <w:p>
                  <w:pPr>
                    <w:widowControl/>
                    <w:jc w:val="center"/>
                    <w:rPr>
                      <w:kern w:val="0"/>
                      <w:szCs w:val="21"/>
                      <w:lang w:bidi="ar"/>
                    </w:rPr>
                  </w:pPr>
                  <w:r>
                    <w:rPr>
                      <w:szCs w:val="21"/>
                    </w:rPr>
                    <w:t>拼捻机</w:t>
                  </w:r>
                </w:p>
              </w:tc>
              <w:tc>
                <w:tcPr>
                  <w:tcW w:w="777" w:type="pct"/>
                  <w:vAlign w:val="center"/>
                </w:tcPr>
                <w:p>
                  <w:pPr>
                    <w:widowControl/>
                    <w:jc w:val="center"/>
                    <w:rPr>
                      <w:kern w:val="0"/>
                      <w:szCs w:val="21"/>
                      <w:lang w:bidi="ar"/>
                    </w:rPr>
                  </w:pPr>
                  <w:r>
                    <w:rPr>
                      <w:szCs w:val="21"/>
                    </w:rPr>
                    <w:t>100锭</w:t>
                  </w:r>
                </w:p>
              </w:tc>
              <w:tc>
                <w:tcPr>
                  <w:tcW w:w="947" w:type="pct"/>
                  <w:vAlign w:val="center"/>
                </w:tcPr>
                <w:p>
                  <w:pPr>
                    <w:widowControl/>
                    <w:jc w:val="center"/>
                    <w:rPr>
                      <w:szCs w:val="21"/>
                    </w:rPr>
                  </w:pPr>
                  <w:r>
                    <w:rPr>
                      <w:szCs w:val="21"/>
                    </w:rPr>
                    <w:t>6</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21</w:t>
                  </w:r>
                </w:p>
              </w:tc>
              <w:tc>
                <w:tcPr>
                  <w:tcW w:w="1254" w:type="pct"/>
                  <w:vAlign w:val="center"/>
                </w:tcPr>
                <w:p>
                  <w:pPr>
                    <w:widowControl/>
                    <w:jc w:val="center"/>
                    <w:rPr>
                      <w:kern w:val="0"/>
                      <w:szCs w:val="21"/>
                      <w:lang w:bidi="ar"/>
                    </w:rPr>
                  </w:pPr>
                  <w:r>
                    <w:rPr>
                      <w:szCs w:val="21"/>
                    </w:rPr>
                    <w:t>圆织机</w:t>
                  </w:r>
                </w:p>
              </w:tc>
              <w:tc>
                <w:tcPr>
                  <w:tcW w:w="777" w:type="pct"/>
                  <w:vAlign w:val="center"/>
                </w:tcPr>
                <w:p>
                  <w:pPr>
                    <w:widowControl/>
                    <w:jc w:val="center"/>
                    <w:rPr>
                      <w:kern w:val="0"/>
                      <w:szCs w:val="21"/>
                      <w:lang w:bidi="ar"/>
                    </w:rPr>
                  </w:pPr>
                  <w:r>
                    <w:rPr>
                      <w:szCs w:val="21"/>
                    </w:rPr>
                    <w:t>1000锭</w:t>
                  </w:r>
                </w:p>
              </w:tc>
              <w:tc>
                <w:tcPr>
                  <w:tcW w:w="947" w:type="pct"/>
                  <w:vAlign w:val="center"/>
                </w:tcPr>
                <w:p>
                  <w:pPr>
                    <w:widowControl/>
                    <w:jc w:val="center"/>
                    <w:rPr>
                      <w:szCs w:val="21"/>
                    </w:rPr>
                  </w:pPr>
                  <w:r>
                    <w:rPr>
                      <w:szCs w:val="21"/>
                    </w:rPr>
                    <w:t>100</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22</w:t>
                  </w:r>
                </w:p>
              </w:tc>
              <w:tc>
                <w:tcPr>
                  <w:tcW w:w="1254" w:type="pct"/>
                  <w:vAlign w:val="center"/>
                </w:tcPr>
                <w:p>
                  <w:pPr>
                    <w:widowControl/>
                    <w:jc w:val="center"/>
                    <w:rPr>
                      <w:kern w:val="0"/>
                      <w:szCs w:val="21"/>
                      <w:lang w:bidi="ar"/>
                    </w:rPr>
                  </w:pPr>
                  <w:r>
                    <w:rPr>
                      <w:szCs w:val="21"/>
                    </w:rPr>
                    <w:t>高温附着生产线</w:t>
                  </w:r>
                </w:p>
              </w:tc>
              <w:tc>
                <w:tcPr>
                  <w:tcW w:w="777" w:type="pct"/>
                  <w:vAlign w:val="center"/>
                </w:tcPr>
                <w:p>
                  <w:pPr>
                    <w:widowControl/>
                    <w:jc w:val="center"/>
                    <w:rPr>
                      <w:kern w:val="0"/>
                      <w:szCs w:val="21"/>
                      <w:lang w:bidi="ar"/>
                    </w:rPr>
                  </w:pPr>
                  <w:r>
                    <w:rPr>
                      <w:szCs w:val="21"/>
                    </w:rPr>
                    <w:t>20*60</w:t>
                  </w:r>
                </w:p>
              </w:tc>
              <w:tc>
                <w:tcPr>
                  <w:tcW w:w="947" w:type="pct"/>
                  <w:vAlign w:val="center"/>
                </w:tcPr>
                <w:p>
                  <w:pPr>
                    <w:widowControl/>
                    <w:jc w:val="center"/>
                    <w:rPr>
                      <w:szCs w:val="21"/>
                    </w:rPr>
                  </w:pPr>
                  <w:r>
                    <w:rPr>
                      <w:szCs w:val="21"/>
                    </w:rPr>
                    <w:t>3</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Align w:val="center"/>
                </w:tcPr>
                <w:p>
                  <w:pPr>
                    <w:snapToGrid w:val="0"/>
                    <w:jc w:val="center"/>
                    <w:rPr>
                      <w:szCs w:val="21"/>
                    </w:rPr>
                  </w:pPr>
                  <w:r>
                    <w:rPr>
                      <w:szCs w:val="21"/>
                    </w:rPr>
                    <w:t>2</w:t>
                  </w:r>
                  <w:r>
                    <w:rPr>
                      <w:rFonts w:hint="eastAsia"/>
                      <w:szCs w:val="21"/>
                    </w:rPr>
                    <w:t>3</w:t>
                  </w:r>
                </w:p>
              </w:tc>
              <w:tc>
                <w:tcPr>
                  <w:tcW w:w="1254" w:type="pct"/>
                  <w:vAlign w:val="center"/>
                </w:tcPr>
                <w:p>
                  <w:pPr>
                    <w:widowControl/>
                    <w:jc w:val="center"/>
                    <w:rPr>
                      <w:kern w:val="0"/>
                      <w:szCs w:val="21"/>
                      <w:lang w:bidi="ar"/>
                    </w:rPr>
                  </w:pPr>
                  <w:r>
                    <w:rPr>
                      <w:szCs w:val="21"/>
                    </w:rPr>
                    <w:t>空气压缩机</w:t>
                  </w:r>
                </w:p>
              </w:tc>
              <w:tc>
                <w:tcPr>
                  <w:tcW w:w="777" w:type="pct"/>
                  <w:vAlign w:val="center"/>
                </w:tcPr>
                <w:p>
                  <w:pPr>
                    <w:widowControl/>
                    <w:jc w:val="center"/>
                    <w:rPr>
                      <w:kern w:val="0"/>
                      <w:szCs w:val="21"/>
                      <w:lang w:bidi="ar"/>
                    </w:rPr>
                  </w:pPr>
                  <w:r>
                    <w:rPr>
                      <w:szCs w:val="21"/>
                    </w:rPr>
                    <w:t>3m³</w:t>
                  </w:r>
                </w:p>
              </w:tc>
              <w:tc>
                <w:tcPr>
                  <w:tcW w:w="947" w:type="pct"/>
                  <w:vAlign w:val="center"/>
                </w:tcPr>
                <w:p>
                  <w:pPr>
                    <w:widowControl/>
                    <w:jc w:val="center"/>
                    <w:rPr>
                      <w:szCs w:val="21"/>
                    </w:rPr>
                  </w:pPr>
                  <w:r>
                    <w:rPr>
                      <w:szCs w:val="21"/>
                    </w:rPr>
                    <w:t>3</w:t>
                  </w:r>
                </w:p>
              </w:tc>
              <w:tc>
                <w:tcPr>
                  <w:tcW w:w="710" w:type="pct"/>
                  <w:vAlign w:val="center"/>
                </w:tcPr>
                <w:p>
                  <w:pPr>
                    <w:jc w:val="center"/>
                    <w:textAlignment w:val="center"/>
                    <w:rPr>
                      <w:szCs w:val="21"/>
                    </w:rPr>
                  </w:pPr>
                  <w:r>
                    <w:rPr>
                      <w:szCs w:val="21"/>
                    </w:rPr>
                    <w:t>国内</w:t>
                  </w:r>
                </w:p>
              </w:tc>
              <w:tc>
                <w:tcPr>
                  <w:tcW w:w="660" w:type="pct"/>
                  <w:vAlign w:val="center"/>
                </w:tcPr>
                <w:p>
                  <w:pPr>
                    <w:jc w:val="center"/>
                    <w:textAlignment w:val="center"/>
                    <w:rPr>
                      <w:szCs w:val="21"/>
                    </w:rPr>
                  </w:pPr>
                  <w:r>
                    <w:rPr>
                      <w:szCs w:val="21"/>
                    </w:rPr>
                    <w:t>/</w:t>
                  </w:r>
                </w:p>
              </w:tc>
            </w:tr>
          </w:tbl>
          <w:p>
            <w:pPr>
              <w:adjustRightInd w:val="0"/>
              <w:snapToGrid w:val="0"/>
              <w:spacing w:line="500" w:lineRule="exact"/>
              <w:ind w:firstLine="482" w:firstLineChars="200"/>
              <w:jc w:val="left"/>
              <w:rPr>
                <w:b/>
                <w:bCs/>
                <w:sz w:val="24"/>
              </w:rPr>
            </w:pPr>
            <w:r>
              <w:rPr>
                <w:rFonts w:hint="eastAsia"/>
                <w:b/>
                <w:bCs/>
                <w:sz w:val="24"/>
              </w:rPr>
              <w:t>6、项目水平衡分析</w:t>
            </w:r>
          </w:p>
          <w:p>
            <w:pPr>
              <w:pStyle w:val="16"/>
              <w:widowControl w:val="0"/>
              <w:adjustRightInd w:val="0"/>
              <w:spacing w:before="0" w:after="0" w:line="500" w:lineRule="exact"/>
              <w:ind w:right="0" w:firstLine="482" w:firstLineChars="200"/>
              <w:rPr>
                <w:sz w:val="24"/>
                <w:szCs w:val="24"/>
              </w:rPr>
            </w:pPr>
            <w:r>
              <w:rPr>
                <w:rFonts w:hint="eastAsia"/>
                <w:b/>
                <w:bCs/>
                <w:sz w:val="24"/>
                <w:szCs w:val="24"/>
              </w:rPr>
              <w:t>6.1水平衡</w:t>
            </w:r>
          </w:p>
          <w:p>
            <w:pPr>
              <w:adjustRightInd w:val="0"/>
              <w:snapToGrid w:val="0"/>
              <w:spacing w:line="500" w:lineRule="exact"/>
              <w:ind w:firstLine="480" w:firstLineChars="200"/>
              <w:rPr>
                <w:sz w:val="24"/>
              </w:rPr>
            </w:pPr>
            <w:r>
              <w:rPr>
                <w:rFonts w:hint="eastAsia"/>
                <w:sz w:val="24"/>
              </w:rPr>
              <w:t>1、生活用水</w:t>
            </w:r>
          </w:p>
          <w:p>
            <w:pPr>
              <w:adjustRightInd w:val="0"/>
              <w:snapToGrid w:val="0"/>
              <w:spacing w:line="500" w:lineRule="exact"/>
              <w:ind w:firstLine="480" w:firstLineChars="200"/>
              <w:rPr>
                <w:sz w:val="24"/>
              </w:rPr>
            </w:pPr>
            <w:r>
              <w:rPr>
                <w:sz w:val="24"/>
              </w:rPr>
              <w:t>项目定员</w:t>
            </w:r>
            <w:r>
              <w:rPr>
                <w:rFonts w:hint="eastAsia"/>
                <w:sz w:val="24"/>
              </w:rPr>
              <w:t>25</w:t>
            </w:r>
            <w:r>
              <w:rPr>
                <w:sz w:val="24"/>
              </w:rPr>
              <w:t>人，全年工作300天，根据《江苏省服务业和生活用水定额》（2014年修订）</w:t>
            </w:r>
            <w:r>
              <w:rPr>
                <w:rFonts w:hint="eastAsia"/>
                <w:sz w:val="24"/>
              </w:rPr>
              <w:t>，生活用水定额</w:t>
            </w:r>
            <w:r>
              <w:rPr>
                <w:sz w:val="24"/>
              </w:rPr>
              <w:t>按照</w:t>
            </w:r>
            <w:r>
              <w:rPr>
                <w:rFonts w:hint="eastAsia"/>
                <w:sz w:val="24"/>
              </w:rPr>
              <w:t>50</w:t>
            </w:r>
            <w:r>
              <w:rPr>
                <w:sz w:val="24"/>
              </w:rPr>
              <w:t>L/人•d计算，则项目生活用水量为</w:t>
            </w:r>
            <w:r>
              <w:rPr>
                <w:rFonts w:hint="eastAsia"/>
                <w:sz w:val="24"/>
              </w:rPr>
              <w:t>375</w:t>
            </w:r>
            <w:r>
              <w:rPr>
                <w:sz w:val="24"/>
              </w:rPr>
              <w:t>m</w:t>
            </w:r>
            <w:r>
              <w:rPr>
                <w:sz w:val="24"/>
                <w:vertAlign w:val="superscript"/>
              </w:rPr>
              <w:t>3</w:t>
            </w:r>
            <w:r>
              <w:rPr>
                <w:sz w:val="24"/>
              </w:rPr>
              <w:t>/a</w:t>
            </w:r>
            <w:r>
              <w:rPr>
                <w:rFonts w:hint="eastAsia"/>
                <w:sz w:val="24"/>
              </w:rPr>
              <w:t>，</w:t>
            </w:r>
            <w:r>
              <w:rPr>
                <w:sz w:val="24"/>
              </w:rPr>
              <w:t>本项目产生的生活污水量按其用水量的80%计，则项目全厂生活污水产生量为</w:t>
            </w:r>
            <w:r>
              <w:rPr>
                <w:rFonts w:hint="eastAsia"/>
                <w:sz w:val="24"/>
              </w:rPr>
              <w:t>300</w:t>
            </w:r>
            <w:r>
              <w:rPr>
                <w:sz w:val="24"/>
              </w:rPr>
              <w:t>m</w:t>
            </w:r>
            <w:r>
              <w:rPr>
                <w:sz w:val="24"/>
                <w:vertAlign w:val="superscript"/>
              </w:rPr>
              <w:t>3</w:t>
            </w:r>
            <w:r>
              <w:rPr>
                <w:sz w:val="24"/>
              </w:rPr>
              <w:t>/a，</w:t>
            </w:r>
            <w:r>
              <w:rPr>
                <w:rFonts w:hint="eastAsia"/>
                <w:color w:val="0000FF"/>
                <w:sz w:val="24"/>
              </w:rPr>
              <w:t>经化粪池收集后经园区污水管网进江苏港城污水处理有限公司集中处理</w:t>
            </w:r>
            <w:r>
              <w:rPr>
                <w:rFonts w:hint="eastAsia"/>
                <w:sz w:val="24"/>
              </w:rPr>
              <w:t>。</w:t>
            </w:r>
          </w:p>
          <w:p>
            <w:pPr>
              <w:adjustRightInd w:val="0"/>
              <w:snapToGrid w:val="0"/>
              <w:spacing w:line="500" w:lineRule="exact"/>
              <w:ind w:firstLine="480" w:firstLineChars="200"/>
              <w:rPr>
                <w:sz w:val="24"/>
              </w:rPr>
            </w:pPr>
            <w:r>
              <w:rPr>
                <w:rFonts w:hint="eastAsia"/>
                <w:sz w:val="24"/>
              </w:rPr>
              <w:t>2、振磨用水</w:t>
            </w:r>
          </w:p>
          <w:p>
            <w:pPr>
              <w:adjustRightInd w:val="0"/>
              <w:snapToGrid w:val="0"/>
              <w:spacing w:line="500" w:lineRule="exact"/>
              <w:ind w:firstLine="480" w:firstLineChars="200"/>
              <w:rPr>
                <w:sz w:val="24"/>
              </w:rPr>
            </w:pPr>
            <w:r>
              <w:rPr>
                <w:sz w:val="24"/>
              </w:rPr>
              <w:t>由企业提供资料，本项目振磨工段用水量为20t/a，该工序</w:t>
            </w:r>
            <w:r>
              <w:rPr>
                <w:rFonts w:hint="eastAsia"/>
                <w:color w:val="0000FF"/>
                <w:sz w:val="24"/>
                <w:lang w:val="en-US" w:eastAsia="zh-CN"/>
              </w:rPr>
              <w:t>产生的废</w:t>
            </w:r>
            <w:r>
              <w:rPr>
                <w:sz w:val="24"/>
              </w:rPr>
              <w:t>水经沉淀池沉淀后循环使用不外排，只需补充自然损耗，损耗按10%计算。</w:t>
            </w:r>
          </w:p>
          <w:p>
            <w:pPr>
              <w:adjustRightInd w:val="0"/>
              <w:snapToGrid w:val="0"/>
              <w:spacing w:line="500" w:lineRule="exact"/>
              <w:ind w:firstLine="480" w:firstLineChars="200"/>
              <w:rPr>
                <w:sz w:val="24"/>
              </w:rPr>
            </w:pPr>
            <w:r>
              <w:rPr>
                <w:rFonts w:hint="eastAsia"/>
                <w:sz w:val="24"/>
              </w:rPr>
              <w:t>3、冷却水</w:t>
            </w:r>
          </w:p>
          <w:p>
            <w:pPr>
              <w:adjustRightInd w:val="0"/>
              <w:snapToGrid w:val="0"/>
              <w:spacing w:line="500" w:lineRule="exact"/>
              <w:ind w:firstLine="480" w:firstLineChars="200"/>
              <w:rPr>
                <w:sz w:val="24"/>
              </w:rPr>
            </w:pPr>
            <w:r>
              <w:rPr>
                <w:rFonts w:hint="eastAsia"/>
                <w:sz w:val="24"/>
              </w:rPr>
              <w:t>企业在压铸工段采用冷却水冷却，冷却用水量为20t/a，不外排，只需补充自然损耗，损耗按10%计算。</w:t>
            </w:r>
          </w:p>
          <w:p>
            <w:pPr>
              <w:numPr>
                <w:ilvl w:val="0"/>
                <w:numId w:val="4"/>
              </w:numPr>
              <w:adjustRightInd w:val="0"/>
              <w:snapToGrid w:val="0"/>
              <w:spacing w:line="500" w:lineRule="exact"/>
              <w:ind w:firstLine="480" w:firstLineChars="200"/>
              <w:rPr>
                <w:sz w:val="24"/>
              </w:rPr>
            </w:pPr>
            <w:r>
              <w:rPr>
                <w:rFonts w:hint="eastAsia"/>
                <w:sz w:val="24"/>
              </w:rPr>
              <w:t>脱模剂用水</w:t>
            </w:r>
          </w:p>
          <w:p>
            <w:pPr>
              <w:adjustRightInd w:val="0"/>
              <w:snapToGrid w:val="0"/>
              <w:spacing w:line="500" w:lineRule="exact"/>
              <w:ind w:firstLine="480" w:firstLineChars="200"/>
              <w:rPr>
                <w:sz w:val="24"/>
              </w:rPr>
            </w:pPr>
            <w:r>
              <w:rPr>
                <w:rFonts w:hint="eastAsia"/>
                <w:sz w:val="24"/>
              </w:rPr>
              <w:t>脱模剂与水配比为1：5，本项目脱模剂用量为1t/a，则</w:t>
            </w:r>
            <w:r>
              <w:rPr>
                <w:rFonts w:hint="eastAsia"/>
                <w:color w:val="0000FF"/>
                <w:sz w:val="24"/>
              </w:rPr>
              <w:t>脱模剂</w:t>
            </w:r>
            <w:r>
              <w:rPr>
                <w:rFonts w:hint="eastAsia"/>
                <w:sz w:val="24"/>
              </w:rPr>
              <w:t>用</w:t>
            </w:r>
            <w:r>
              <w:rPr>
                <w:rFonts w:hint="eastAsia"/>
                <w:color w:val="0000FF"/>
                <w:sz w:val="24"/>
                <w:lang w:val="en-US" w:eastAsia="zh-CN"/>
              </w:rPr>
              <w:t>水</w:t>
            </w:r>
            <w:r>
              <w:rPr>
                <w:rFonts w:hint="eastAsia"/>
                <w:sz w:val="24"/>
              </w:rPr>
              <w:t>量为5t/a</w:t>
            </w:r>
            <w:r>
              <w:rPr>
                <w:rFonts w:hint="eastAsia"/>
                <w:sz w:val="24"/>
                <w:lang w:eastAsia="zh-CN"/>
              </w:rPr>
              <w:t>，</w:t>
            </w:r>
            <w:r>
              <w:rPr>
                <w:rFonts w:hint="eastAsia"/>
                <w:sz w:val="24"/>
                <w:lang w:val="en-US" w:eastAsia="zh-CN"/>
              </w:rPr>
              <w:t>脱模剂废液经收集后委托有资质单位处置</w:t>
            </w:r>
            <w:r>
              <w:rPr>
                <w:rFonts w:hint="eastAsia"/>
                <w:sz w:val="24"/>
              </w:rPr>
              <w:t>。</w:t>
            </w:r>
          </w:p>
          <w:p>
            <w:pPr>
              <w:adjustRightInd w:val="0"/>
              <w:snapToGrid w:val="0"/>
              <w:spacing w:line="500" w:lineRule="exact"/>
              <w:ind w:firstLine="480" w:firstLineChars="200"/>
              <w:rPr>
                <w:sz w:val="24"/>
              </w:rPr>
            </w:pPr>
            <w:r>
              <w:rPr>
                <w:sz w:val="24"/>
              </w:rPr>
              <w:t>项目水平衡见下图：</w:t>
            </w:r>
          </w:p>
          <w:p>
            <w:pPr>
              <w:pStyle w:val="19"/>
              <w:numPr>
                <w:ilvl w:val="0"/>
                <w:numId w:val="0"/>
              </w:numPr>
            </w:pPr>
            <w:r>
              <w:rPr>
                <w:rFonts w:hint="eastAsia"/>
              </w:rPr>
              <w:drawing>
                <wp:inline distT="0" distB="0" distL="114300" distR="114300">
                  <wp:extent cx="4211320" cy="3355975"/>
                  <wp:effectExtent l="0" t="0" r="0" b="0"/>
                  <wp:docPr id="2" name="ECB019B1-382A-4266-B25C-5B523AA43C14-1" descr="C:/Users/chen/AppData/Local/Temp/wps.Vhozxm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1" descr="C:/Users/chen/AppData/Local/Temp/wps.Vhozxmwps"/>
                          <pic:cNvPicPr>
                            <a:picLocks noChangeAspect="1"/>
                          </pic:cNvPicPr>
                        </pic:nvPicPr>
                        <pic:blipFill>
                          <a:blip r:embed="rId10"/>
                          <a:stretch>
                            <a:fillRect/>
                          </a:stretch>
                        </pic:blipFill>
                        <pic:spPr>
                          <a:xfrm>
                            <a:off x="0" y="0"/>
                            <a:ext cx="4211320" cy="33559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211" w:firstLineChars="100"/>
              <w:jc w:val="center"/>
              <w:textAlignment w:val="auto"/>
              <w:rPr>
                <w:b/>
                <w:bCs/>
                <w:szCs w:val="21"/>
              </w:rPr>
            </w:pPr>
            <w:r>
              <w:rPr>
                <w:rFonts w:hint="eastAsia"/>
                <w:b/>
                <w:bCs/>
                <w:szCs w:val="21"/>
              </w:rPr>
              <w:t>图2-1项目生活水平衡图</w:t>
            </w:r>
            <w:r>
              <w:rPr>
                <w:rFonts w:hint="eastAsia"/>
                <w:b/>
                <w:bCs/>
                <w:color w:val="0000FF"/>
                <w:szCs w:val="21"/>
                <w:lang w:eastAsia="zh-CN"/>
              </w:rPr>
              <w:t>（</w:t>
            </w:r>
            <w:r>
              <w:rPr>
                <w:rFonts w:hint="eastAsia"/>
                <w:b/>
                <w:bCs/>
                <w:szCs w:val="21"/>
              </w:rPr>
              <w:t>单位：t/a</w:t>
            </w:r>
            <w:r>
              <w:rPr>
                <w:rFonts w:hint="eastAsia"/>
                <w:b/>
                <w:bCs/>
                <w:color w:val="0000FF"/>
                <w:szCs w:val="21"/>
                <w:lang w:eastAsia="zh-CN"/>
              </w:rPr>
              <w:t>）</w:t>
            </w:r>
          </w:p>
          <w:p>
            <w:pPr>
              <w:adjustRightInd w:val="0"/>
              <w:snapToGrid w:val="0"/>
              <w:spacing w:line="500" w:lineRule="exact"/>
              <w:ind w:firstLine="482" w:firstLineChars="200"/>
              <w:jc w:val="left"/>
              <w:rPr>
                <w:b/>
                <w:bCs/>
                <w:sz w:val="24"/>
              </w:rPr>
            </w:pPr>
            <w:r>
              <w:rPr>
                <w:rFonts w:hint="eastAsia"/>
                <w:b/>
                <w:bCs/>
                <w:sz w:val="24"/>
              </w:rPr>
              <w:t>7、</w:t>
            </w:r>
            <w:r>
              <w:rPr>
                <w:b/>
                <w:bCs/>
                <w:sz w:val="24"/>
              </w:rPr>
              <w:t>平面布置及周围环境状况</w:t>
            </w:r>
          </w:p>
          <w:p>
            <w:pPr>
              <w:adjustRightInd w:val="0"/>
              <w:snapToGrid w:val="0"/>
              <w:spacing w:line="500" w:lineRule="exact"/>
              <w:ind w:firstLine="480" w:firstLineChars="200"/>
              <w:jc w:val="left"/>
              <w:rPr>
                <w:bCs/>
                <w:sz w:val="24"/>
              </w:rPr>
            </w:pPr>
            <w:r>
              <w:rPr>
                <w:sz w:val="24"/>
              </w:rPr>
              <w:t>本项目位于</w:t>
            </w:r>
            <w:r>
              <w:rPr>
                <w:rFonts w:hint="eastAsia"/>
                <w:sz w:val="24"/>
              </w:rPr>
              <w:t>泰州市医药高新区（高港区）郁金香墙纸公司东侧，永盛路北侧、创新大道南侧、展帆路西侧</w:t>
            </w:r>
            <w:r>
              <w:rPr>
                <w:sz w:val="24"/>
              </w:rPr>
              <w:t>。</w:t>
            </w:r>
            <w:r>
              <w:rPr>
                <w:rFonts w:hint="eastAsia"/>
                <w:bCs/>
                <w:sz w:val="24"/>
              </w:rPr>
              <w:t>建设项目周围500米内土地利用现状见附图2。</w:t>
            </w:r>
          </w:p>
          <w:p>
            <w:pPr>
              <w:adjustRightInd w:val="0"/>
              <w:snapToGrid w:val="0"/>
              <w:spacing w:line="500" w:lineRule="exact"/>
              <w:ind w:firstLine="480" w:firstLineChars="200"/>
              <w:rPr>
                <w:bCs/>
                <w:sz w:val="24"/>
              </w:rPr>
            </w:pPr>
            <w:r>
              <w:rPr>
                <w:bCs/>
                <w:sz w:val="24"/>
              </w:rPr>
              <w:t>本项目</w:t>
            </w:r>
            <w:r>
              <w:rPr>
                <w:rFonts w:hint="eastAsia"/>
                <w:bCs/>
                <w:sz w:val="24"/>
              </w:rPr>
              <w:t>占用五栋厂房，厂房二主要用于压铸和机加工</w:t>
            </w:r>
            <w:r>
              <w:rPr>
                <w:bCs/>
                <w:sz w:val="24"/>
              </w:rPr>
              <w:t>，主要生产区位于</w:t>
            </w:r>
            <w:r>
              <w:rPr>
                <w:rFonts w:hint="eastAsia"/>
                <w:bCs/>
                <w:sz w:val="24"/>
              </w:rPr>
              <w:t>一楼</w:t>
            </w:r>
            <w:r>
              <w:rPr>
                <w:bCs/>
                <w:sz w:val="24"/>
              </w:rPr>
              <w:t>车间</w:t>
            </w:r>
            <w:r>
              <w:rPr>
                <w:rFonts w:hint="eastAsia"/>
                <w:bCs/>
                <w:sz w:val="24"/>
              </w:rPr>
              <w:t>中部</w:t>
            </w:r>
            <w:r>
              <w:rPr>
                <w:bCs/>
                <w:sz w:val="24"/>
              </w:rPr>
              <w:t>，成品区、原料区位于</w:t>
            </w:r>
            <w:r>
              <w:rPr>
                <w:rFonts w:hint="eastAsia"/>
                <w:bCs/>
                <w:sz w:val="24"/>
              </w:rPr>
              <w:t>一楼</w:t>
            </w:r>
            <w:r>
              <w:rPr>
                <w:bCs/>
                <w:sz w:val="24"/>
              </w:rPr>
              <w:t>车间</w:t>
            </w:r>
            <w:r>
              <w:rPr>
                <w:rFonts w:hint="eastAsia"/>
                <w:bCs/>
                <w:sz w:val="24"/>
              </w:rPr>
              <w:t>东西两侧</w:t>
            </w:r>
            <w:r>
              <w:rPr>
                <w:bCs/>
                <w:sz w:val="24"/>
              </w:rPr>
              <w:t>位置。一般固废暂存间和危险废物暂存区位于</w:t>
            </w:r>
            <w:r>
              <w:rPr>
                <w:rFonts w:hint="eastAsia"/>
                <w:bCs/>
                <w:sz w:val="24"/>
              </w:rPr>
              <w:t>一楼</w:t>
            </w:r>
            <w:r>
              <w:rPr>
                <w:bCs/>
                <w:sz w:val="24"/>
              </w:rPr>
              <w:t>生产车间</w:t>
            </w:r>
            <w:r>
              <w:rPr>
                <w:rFonts w:hint="eastAsia"/>
                <w:bCs/>
                <w:sz w:val="24"/>
              </w:rPr>
              <w:t>西南</w:t>
            </w:r>
            <w:r>
              <w:rPr>
                <w:bCs/>
                <w:sz w:val="24"/>
              </w:rPr>
              <w:t>侧。</w:t>
            </w:r>
          </w:p>
          <w:p>
            <w:pPr>
              <w:adjustRightInd w:val="0"/>
              <w:snapToGrid w:val="0"/>
              <w:spacing w:line="500" w:lineRule="exact"/>
              <w:ind w:firstLine="480" w:firstLineChars="200"/>
              <w:rPr>
                <w:b/>
                <w:bCs/>
                <w:sz w:val="24"/>
              </w:rPr>
            </w:pPr>
            <w:r>
              <w:rPr>
                <w:sz w:val="24"/>
              </w:rPr>
              <w:t>本项目原料区、成品区距离生产区较近，物料运送距离较短</w:t>
            </w:r>
            <w:r>
              <w:rPr>
                <w:rFonts w:hint="eastAsia"/>
                <w:sz w:val="24"/>
              </w:rPr>
              <w:t>且两层车间配有电梯，运输方便</w:t>
            </w:r>
            <w:r>
              <w:rPr>
                <w:sz w:val="24"/>
              </w:rPr>
              <w:t>。因此，项目的平面布置基本合理。</w:t>
            </w:r>
            <w:r>
              <w:rPr>
                <w:rFonts w:hint="eastAsia"/>
                <w:sz w:val="24"/>
              </w:rPr>
              <w:t>厂区布局见附图3及附图4。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51" w:hRule="atLeast"/>
          <w:jc w:val="center"/>
        </w:trPr>
        <w:tc>
          <w:tcPr>
            <w:tcW w:w="452" w:type="dxa"/>
            <w:vAlign w:val="center"/>
          </w:tcPr>
          <w:p>
            <w:pPr>
              <w:pStyle w:val="29"/>
              <w:adjustRightInd w:val="0"/>
              <w:snapToGrid w:val="0"/>
              <w:spacing w:before="0" w:beforeAutospacing="0" w:after="0" w:afterAutospacing="0"/>
              <w:jc w:val="center"/>
              <w:rPr>
                <w:rFonts w:cs="宋体"/>
                <w:szCs w:val="24"/>
              </w:rPr>
            </w:pPr>
            <w:r>
              <w:rPr>
                <w:rFonts w:hint="eastAsia" w:cs="宋体"/>
                <w:szCs w:val="24"/>
              </w:rPr>
              <w:t>工艺流程和产排污环节</w:t>
            </w:r>
          </w:p>
        </w:tc>
        <w:tc>
          <w:tcPr>
            <w:tcW w:w="8608" w:type="dxa"/>
          </w:tcPr>
          <w:p>
            <w:pPr>
              <w:spacing w:line="500" w:lineRule="exact"/>
              <w:ind w:firstLine="241" w:firstLineChars="100"/>
              <w:rPr>
                <w:b/>
                <w:bCs/>
                <w:sz w:val="24"/>
              </w:rPr>
            </w:pPr>
            <w:r>
              <w:rPr>
                <w:b/>
                <w:bCs/>
                <w:sz w:val="24"/>
              </w:rPr>
              <w:t>工艺流程及产污环节</w:t>
            </w:r>
          </w:p>
          <w:p>
            <w:pPr>
              <w:spacing w:line="500" w:lineRule="exact"/>
              <w:ind w:firstLine="480" w:firstLineChars="200"/>
              <w:rPr>
                <w:sz w:val="24"/>
              </w:rPr>
            </w:pPr>
            <w:r>
              <w:rPr>
                <w:sz w:val="24"/>
              </w:rPr>
              <w:t>根据建设单位提供资料，产品工艺流程具体如下：</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b/>
                <w:bCs/>
                <w:sz w:val="24"/>
              </w:rPr>
            </w:pPr>
            <w:r>
              <w:rPr>
                <w:rFonts w:hint="eastAsia"/>
                <w:b/>
                <w:bCs/>
                <w:sz w:val="24"/>
              </w:rPr>
              <w:t>1</w:t>
            </w:r>
            <w:r>
              <w:rPr>
                <w:rFonts w:hint="eastAsia"/>
                <w:b/>
                <w:bCs/>
                <w:sz w:val="24"/>
                <w:lang w:eastAsia="zh-CN"/>
              </w:rPr>
              <w:t>、</w:t>
            </w:r>
            <w:r>
              <w:rPr>
                <w:rFonts w:hint="eastAsia"/>
                <w:b/>
                <w:bCs/>
                <w:sz w:val="24"/>
              </w:rPr>
              <w:t>消防接口、消防水枪工艺流程</w:t>
            </w:r>
          </w:p>
          <w:p>
            <w:pPr>
              <w:pStyle w:val="4"/>
              <w:numPr>
                <w:ilvl w:val="2"/>
                <w:numId w:val="0"/>
              </w:numPr>
              <w:jc w:val="center"/>
              <w:rPr>
                <w:b/>
                <w:bCs/>
                <w:szCs w:val="21"/>
              </w:rPr>
            </w:pPr>
            <w:r>
              <w:rPr>
                <w:rFonts w:hint="eastAsia"/>
              </w:rPr>
              <w:drawing>
                <wp:inline distT="0" distB="0" distL="114300" distR="114300">
                  <wp:extent cx="3063240" cy="4870450"/>
                  <wp:effectExtent l="0" t="0" r="0" b="0"/>
                  <wp:docPr id="9" name="ECB019B1-382A-4266-B25C-5B523AA43C14-2" descr="C:/Users/chen/AppData/Local/Temp/wps.RiaUEw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CB019B1-382A-4266-B25C-5B523AA43C14-2" descr="C:/Users/chen/AppData/Local/Temp/wps.RiaUEwwps"/>
                          <pic:cNvPicPr>
                            <a:picLocks noChangeAspect="1"/>
                          </pic:cNvPicPr>
                        </pic:nvPicPr>
                        <pic:blipFill>
                          <a:blip r:embed="rId11"/>
                          <a:stretch>
                            <a:fillRect/>
                          </a:stretch>
                        </pic:blipFill>
                        <pic:spPr>
                          <a:xfrm>
                            <a:off x="0" y="0"/>
                            <a:ext cx="3063240" cy="48704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szCs w:val="21"/>
              </w:rPr>
            </w:pPr>
            <w:r>
              <w:rPr>
                <w:rFonts w:hint="eastAsia"/>
                <w:b/>
                <w:bCs/>
                <w:szCs w:val="21"/>
              </w:rPr>
              <w:t>图2-</w:t>
            </w:r>
            <w:r>
              <w:rPr>
                <w:rFonts w:hint="eastAsia"/>
                <w:b/>
                <w:bCs/>
                <w:szCs w:val="21"/>
                <w:lang w:val="en-US" w:eastAsia="zh-CN"/>
              </w:rPr>
              <w:t>2</w:t>
            </w:r>
            <w:r>
              <w:rPr>
                <w:rFonts w:hint="eastAsia"/>
                <w:b/>
                <w:bCs/>
                <w:color w:val="0000FF"/>
                <w:szCs w:val="21"/>
                <w:lang w:val="en-US" w:eastAsia="zh-CN"/>
              </w:rPr>
              <w:t>消防接口、消防水枪</w:t>
            </w:r>
            <w:r>
              <w:rPr>
                <w:rFonts w:hint="eastAsia"/>
                <w:b/>
                <w:bCs/>
                <w:szCs w:val="21"/>
              </w:rPr>
              <w:t>工艺流程及产污环节图</w:t>
            </w:r>
          </w:p>
          <w:p>
            <w:pPr>
              <w:pStyle w:val="26"/>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工艺流程简述：</w:t>
            </w:r>
          </w:p>
          <w:p>
            <w:pPr>
              <w:adjustRightInd w:val="0"/>
              <w:snapToGrid w:val="0"/>
              <w:spacing w:line="500" w:lineRule="exact"/>
              <w:ind w:firstLine="482" w:firstLineChars="200"/>
              <w:rPr>
                <w:rFonts w:eastAsiaTheme="minorEastAsia"/>
                <w:color w:val="000000"/>
                <w:sz w:val="24"/>
              </w:rPr>
            </w:pPr>
            <w:r>
              <w:rPr>
                <w:rFonts w:eastAsiaTheme="minorEastAsia"/>
                <w:b/>
                <w:color w:val="000000"/>
                <w:sz w:val="24"/>
              </w:rPr>
              <w:t>熔化：</w:t>
            </w:r>
            <w:r>
              <w:rPr>
                <w:rFonts w:eastAsiaTheme="minorEastAsia"/>
                <w:color w:val="000000"/>
                <w:sz w:val="24"/>
              </w:rPr>
              <w:t>将铝锭加到中央熔炉通过</w:t>
            </w:r>
            <w:r>
              <w:rPr>
                <w:rFonts w:hint="eastAsia" w:eastAsiaTheme="minorEastAsia"/>
                <w:color w:val="000000"/>
                <w:sz w:val="24"/>
              </w:rPr>
              <w:t>电</w:t>
            </w:r>
            <w:r>
              <w:rPr>
                <w:rFonts w:eastAsiaTheme="minorEastAsia"/>
                <w:color w:val="000000"/>
                <w:sz w:val="24"/>
              </w:rPr>
              <w:t>加热变成铝水，通过自动配汤线送给每台机边上的保温炉。此过程产生噪声N、铝渣S1和熔炼废气G1。</w:t>
            </w:r>
          </w:p>
          <w:p>
            <w:pPr>
              <w:adjustRightInd w:val="0"/>
              <w:snapToGrid w:val="0"/>
              <w:spacing w:line="500" w:lineRule="exact"/>
              <w:ind w:firstLine="482" w:firstLineChars="200"/>
              <w:rPr>
                <w:rFonts w:eastAsiaTheme="minorEastAsia"/>
                <w:b/>
                <w:color w:val="000000"/>
                <w:sz w:val="24"/>
              </w:rPr>
            </w:pPr>
            <w:r>
              <w:rPr>
                <w:rFonts w:eastAsiaTheme="minorEastAsia"/>
                <w:b/>
                <w:color w:val="000000"/>
                <w:sz w:val="24"/>
              </w:rPr>
              <w:t>压铸：</w:t>
            </w:r>
            <w:r>
              <w:rPr>
                <w:rFonts w:eastAsiaTheme="minorEastAsia"/>
                <w:color w:val="000000"/>
                <w:sz w:val="24"/>
              </w:rPr>
              <w:t>将铝水灌注在压铸机内部的模具内浇铸成型，在压铸时使用脱模剂喷在模具上，防止压铸完成的部件粘结在模具上。喷脱模剂时由于模具上温度较高，脱模剂所含的矿物油聚合物遇高温后挥发，有压铸废气G2、噪声N、脱模废液S2和冷却废水W1产生。</w:t>
            </w:r>
          </w:p>
          <w:p>
            <w:pPr>
              <w:adjustRightInd w:val="0"/>
              <w:snapToGrid w:val="0"/>
              <w:spacing w:line="500" w:lineRule="exact"/>
              <w:ind w:firstLine="482" w:firstLineChars="200"/>
              <w:jc w:val="left"/>
              <w:rPr>
                <w:rFonts w:eastAsiaTheme="minorEastAsia"/>
                <w:color w:val="000000"/>
                <w:sz w:val="24"/>
              </w:rPr>
            </w:pPr>
            <w:r>
              <w:rPr>
                <w:rFonts w:eastAsiaTheme="minorEastAsia"/>
                <w:b/>
                <w:color w:val="000000"/>
                <w:sz w:val="24"/>
              </w:rPr>
              <w:t>抛丸：</w:t>
            </w:r>
            <w:r>
              <w:rPr>
                <w:rFonts w:eastAsiaTheme="minorEastAsia"/>
                <w:bCs/>
                <w:color w:val="000000"/>
                <w:sz w:val="24"/>
              </w:rPr>
              <w:t>工件上完螺丝后</w:t>
            </w:r>
            <w:r>
              <w:rPr>
                <w:rFonts w:eastAsiaTheme="minorEastAsia"/>
                <w:color w:val="000000"/>
                <w:sz w:val="24"/>
              </w:rPr>
              <w:t>使用抛丸清理机进行处理。此过程产生噪声N、抛丸粉尘G4和废</w:t>
            </w:r>
            <w:r>
              <w:rPr>
                <w:rFonts w:hint="eastAsia" w:eastAsiaTheme="minorEastAsia"/>
                <w:color w:val="000000"/>
                <w:sz w:val="24"/>
              </w:rPr>
              <w:t>铝屑</w:t>
            </w:r>
            <w:r>
              <w:rPr>
                <w:rFonts w:eastAsiaTheme="minorEastAsia"/>
                <w:color w:val="000000"/>
                <w:sz w:val="24"/>
              </w:rPr>
              <w:t>S</w:t>
            </w:r>
            <w:r>
              <w:rPr>
                <w:rFonts w:hint="eastAsia" w:eastAsiaTheme="minorEastAsia"/>
                <w:color w:val="000000"/>
                <w:sz w:val="24"/>
              </w:rPr>
              <w:t>3</w:t>
            </w:r>
            <w:r>
              <w:rPr>
                <w:rFonts w:eastAsiaTheme="minorEastAsia"/>
                <w:color w:val="000000"/>
                <w:sz w:val="24"/>
              </w:rPr>
              <w:t>。</w:t>
            </w:r>
          </w:p>
          <w:p>
            <w:pPr>
              <w:adjustRightInd w:val="0"/>
              <w:snapToGrid w:val="0"/>
              <w:spacing w:line="500" w:lineRule="exact"/>
              <w:ind w:firstLine="482" w:firstLineChars="200"/>
              <w:jc w:val="left"/>
              <w:rPr>
                <w:rFonts w:eastAsiaTheme="minorEastAsia"/>
                <w:color w:val="000000"/>
                <w:sz w:val="24"/>
              </w:rPr>
            </w:pPr>
            <w:r>
              <w:rPr>
                <w:rFonts w:eastAsiaTheme="minorEastAsia"/>
                <w:b/>
                <w:color w:val="000000"/>
                <w:sz w:val="24"/>
              </w:rPr>
              <w:t>振磨：</w:t>
            </w:r>
            <w:r>
              <w:rPr>
                <w:rFonts w:eastAsiaTheme="minorEastAsia"/>
                <w:color w:val="000000"/>
                <w:sz w:val="24"/>
              </w:rPr>
              <w:t>使用振动研磨机将工件进行振磨处理，振磨工序产生铝屑S4、噪声N、废水W2，振磨工序水经沉淀池沉淀后循环使用不外排。</w:t>
            </w:r>
          </w:p>
          <w:p>
            <w:pPr>
              <w:adjustRightInd w:val="0"/>
              <w:snapToGrid w:val="0"/>
              <w:spacing w:line="500" w:lineRule="exact"/>
              <w:ind w:firstLine="482" w:firstLineChars="200"/>
              <w:jc w:val="left"/>
              <w:rPr>
                <w:rFonts w:eastAsiaTheme="minorEastAsia"/>
                <w:color w:val="000000"/>
                <w:sz w:val="24"/>
              </w:rPr>
            </w:pPr>
            <w:r>
              <w:rPr>
                <w:rFonts w:hint="eastAsia" w:eastAsiaTheme="minorEastAsia"/>
                <w:b/>
                <w:color w:val="000000"/>
                <w:sz w:val="24"/>
              </w:rPr>
              <w:t>机械精加工：</w:t>
            </w:r>
            <w:r>
              <w:rPr>
                <w:rFonts w:hint="eastAsia" w:eastAsiaTheme="minorEastAsia"/>
                <w:color w:val="000000"/>
                <w:sz w:val="24"/>
              </w:rPr>
              <w:t>使用数控车床进行机械加工，产生边角料S5、废切削液S6。</w:t>
            </w:r>
          </w:p>
          <w:p>
            <w:pPr>
              <w:pStyle w:val="26"/>
              <w:adjustRightInd w:val="0"/>
              <w:snapToGrid w:val="0"/>
              <w:spacing w:line="500" w:lineRule="exact"/>
              <w:ind w:firstLine="482" w:firstLineChars="200"/>
              <w:rPr>
                <w:rFonts w:eastAsiaTheme="minorEastAsia"/>
                <w:color w:val="000000" w:themeColor="text1"/>
                <w:sz w:val="24"/>
                <w14:textFill>
                  <w14:solidFill>
                    <w14:schemeClr w14:val="tx1"/>
                  </w14:solidFill>
                </w14:textFill>
              </w:rPr>
            </w:pPr>
            <w:r>
              <w:rPr>
                <w:rFonts w:eastAsiaTheme="minorEastAsia"/>
                <w:b/>
                <w:color w:val="000000"/>
                <w:sz w:val="24"/>
              </w:rPr>
              <w:t>喷塑、固化</w:t>
            </w:r>
            <w:r>
              <w:rPr>
                <w:rFonts w:eastAsiaTheme="minorEastAsia"/>
                <w:color w:val="000000" w:themeColor="text1"/>
                <w:sz w:val="24"/>
                <w14:textFill>
                  <w14:solidFill>
                    <w14:schemeClr w14:val="tx1"/>
                  </w14:solidFill>
                </w14:textFill>
              </w:rPr>
              <w:t>：固体喷塑又称喷粉或静电喷涂，采用的是树脂基材料（固体粉末状），经静电喷涂吸附在工件表面，再经高温（约200℃）烘烤后</w:t>
            </w:r>
            <w:r>
              <w:rPr>
                <w:rFonts w:hint="eastAsia" w:eastAsiaTheme="minorEastAsia"/>
                <w:color w:val="000000" w:themeColor="text1"/>
                <w:sz w:val="24"/>
                <w14:textFill>
                  <w14:solidFill>
                    <w14:schemeClr w14:val="tx1"/>
                  </w14:solidFill>
                </w14:textFill>
              </w:rPr>
              <w:t>熔化</w:t>
            </w:r>
            <w:r>
              <w:rPr>
                <w:rFonts w:eastAsiaTheme="minorEastAsia"/>
                <w:color w:val="000000" w:themeColor="text1"/>
                <w:sz w:val="24"/>
                <w14:textFill>
                  <w14:solidFill>
                    <w14:schemeClr w14:val="tx1"/>
                  </w14:solidFill>
                </w14:textFill>
              </w:rPr>
              <w:t>固定在工件表面的一种工艺。它具有无毒、无臭、无污染的优点，表面色泽艳丽，目前很多产品的表面都采用这种工艺。喷塑均在密闭喷粉室内进行，喷粉室主要由喷枪、房体、自动回收系统和供粉系统组成。供粉系统把压缩空气与粉筒内的粉末充分混合后成为流体状并通过粉泵输送到喷枪中；喷枪的枪体内带有高压发生器，它可以在枪尖处产生高达10万伏的电压，将枪尖附近区域的空气电离，从喷枪中喷出的粉体通过该电离区域时带上负电荷，通过电场力的作用粉末被吸附到接地的工件表面，并形成一层厚度约50-60mm的粉膜；在密闭的喷粉室内，通过风机产生负压，将喷粉室内未吸附在工件表面的粉体吸入自动回收系统，经过玻璃纤维滤芯过滤后送回供粉系统循环使用，过滤后气体外排，因此静电喷涂外排气体中基本上不含粉体。人工将粉料倒入供粉系统的粉筒内，粉筒内为负压，在粉料倒入时无粉尘产</w:t>
            </w:r>
            <w:r>
              <w:rPr>
                <w:rFonts w:hint="eastAsia" w:eastAsiaTheme="minorEastAsia"/>
                <w:color w:val="000000" w:themeColor="text1"/>
                <w:sz w:val="24"/>
                <w14:textFill>
                  <w14:solidFill>
                    <w14:schemeClr w14:val="tx1"/>
                  </w14:solidFill>
                </w14:textFill>
              </w:rPr>
              <w:t>生</w:t>
            </w:r>
            <w:r>
              <w:rPr>
                <w:rFonts w:eastAsiaTheme="minorEastAsia"/>
                <w:color w:val="000000" w:themeColor="text1"/>
                <w:sz w:val="24"/>
                <w14:textFill>
                  <w14:solidFill>
                    <w14:schemeClr w14:val="tx1"/>
                  </w14:solidFill>
                </w14:textFill>
              </w:rPr>
              <w:t>。建设项目共设1套塑粉自动回收喷粉室，</w:t>
            </w:r>
            <w:r>
              <w:rPr>
                <w:rFonts w:hint="eastAsia" w:eastAsiaTheme="minorEastAsia"/>
                <w:color w:val="000000" w:themeColor="text1"/>
                <w:sz w:val="24"/>
                <w14:textFill>
                  <w14:solidFill>
                    <w14:schemeClr w14:val="tx1"/>
                  </w14:solidFill>
                </w14:textFill>
              </w:rPr>
              <w:t>1</w:t>
            </w:r>
            <w:r>
              <w:rPr>
                <w:rFonts w:eastAsiaTheme="minorEastAsia"/>
                <w:color w:val="000000" w:themeColor="text1"/>
                <w:sz w:val="24"/>
                <w14:textFill>
                  <w14:solidFill>
                    <w14:schemeClr w14:val="tx1"/>
                  </w14:solidFill>
                </w14:textFill>
              </w:rPr>
              <w:t>套电加热的烘烤箱。现有项目使用聚酯环氧树脂混合型粉末涂料(不含溶剂成分)，静电粉</w:t>
            </w:r>
            <w:r>
              <w:rPr>
                <w:rFonts w:hint="eastAsia" w:eastAsiaTheme="minorEastAsia"/>
                <w:color w:val="000000" w:themeColor="text1"/>
                <w:sz w:val="24"/>
                <w14:textFill>
                  <w14:solidFill>
                    <w14:schemeClr w14:val="tx1"/>
                  </w14:solidFill>
                </w14:textFill>
              </w:rPr>
              <w:t>末</w:t>
            </w:r>
            <w:r>
              <w:rPr>
                <w:rFonts w:eastAsiaTheme="minorEastAsia"/>
                <w:color w:val="000000" w:themeColor="text1"/>
                <w:sz w:val="24"/>
                <w14:textFill>
                  <w14:solidFill>
                    <w14:schemeClr w14:val="tx1"/>
                  </w14:solidFill>
                </w14:textFill>
              </w:rPr>
              <w:t>喷涂后的粉体烘烤固化温度为200℃。</w:t>
            </w:r>
            <w:r>
              <w:rPr>
                <w:rFonts w:hint="eastAsia" w:eastAsiaTheme="minorEastAsia"/>
                <w:color w:val="000000" w:themeColor="text1"/>
                <w:sz w:val="24"/>
                <w14:textFill>
                  <w14:solidFill>
                    <w14:schemeClr w14:val="tx1"/>
                  </w14:solidFill>
                </w14:textFill>
              </w:rPr>
              <w:t>喷塑过程会产生粉尘废气G4，固化会产生有机废气G5。</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textAlignment w:val="auto"/>
              <w:rPr>
                <w:rFonts w:hint="eastAsia"/>
                <w:b/>
                <w:bCs/>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textAlignment w:val="auto"/>
              <w:rPr>
                <w:rFonts w:hint="eastAsia"/>
                <w:b/>
                <w:bCs/>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textAlignment w:val="auto"/>
              <w:rPr>
                <w:rFonts w:hint="eastAsia"/>
                <w:b/>
                <w:bCs/>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textAlignment w:val="auto"/>
              <w:rPr>
                <w:rFonts w:hint="eastAsia"/>
                <w:b/>
                <w:bCs/>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textAlignment w:val="auto"/>
              <w:rPr>
                <w:rFonts w:hint="eastAsia"/>
                <w:b/>
                <w:bCs/>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textAlignment w:val="auto"/>
              <w:rPr>
                <w:rFonts w:hint="eastAsia"/>
                <w:b/>
                <w:bCs/>
                <w:sz w:val="24"/>
              </w:rPr>
            </w:pPr>
            <w:r>
              <w:rPr>
                <w:rFonts w:hint="eastAsia"/>
                <w:b/>
                <w:bCs/>
                <w:sz w:val="24"/>
                <w:lang w:val="en-US" w:eastAsia="zh-CN"/>
              </w:rPr>
              <w:t>2、</w:t>
            </w:r>
            <w:r>
              <w:rPr>
                <w:rFonts w:hint="eastAsia"/>
                <w:b/>
                <w:bCs/>
                <w:sz w:val="24"/>
              </w:rPr>
              <w:t>消防水带工艺流程</w:t>
            </w:r>
          </w:p>
          <w:p>
            <w:pPr>
              <w:pStyle w:val="14"/>
              <w:jc w:val="center"/>
              <w:rPr>
                <w:rFonts w:hint="eastAsia"/>
              </w:rPr>
            </w:pPr>
            <w:r>
              <w:rPr>
                <w:rFonts w:hint="eastAsia"/>
              </w:rPr>
              <w:drawing>
                <wp:inline distT="0" distB="0" distL="114300" distR="114300">
                  <wp:extent cx="3256280" cy="3239770"/>
                  <wp:effectExtent l="0" t="0" r="0" b="0"/>
                  <wp:docPr id="1" name="ECB019B1-382A-4266-B25C-5B523AA43C14-3" descr="C:/Users/chen/AppData/Local/Temp/wps.wgyMMO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3" descr="C:/Users/chen/AppData/Local/Temp/wps.wgyMMOwps"/>
                          <pic:cNvPicPr>
                            <a:picLocks noChangeAspect="1"/>
                          </pic:cNvPicPr>
                        </pic:nvPicPr>
                        <pic:blipFill>
                          <a:blip r:embed="rId12"/>
                          <a:stretch>
                            <a:fillRect/>
                          </a:stretch>
                        </pic:blipFill>
                        <pic:spPr>
                          <a:xfrm>
                            <a:off x="0" y="0"/>
                            <a:ext cx="3256280" cy="32397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pPr>
            <w:r>
              <w:rPr>
                <w:rFonts w:hint="eastAsia"/>
                <w:b/>
                <w:bCs/>
                <w:color w:val="0000FF"/>
                <w:szCs w:val="21"/>
              </w:rPr>
              <w:t>图2-</w:t>
            </w:r>
            <w:r>
              <w:rPr>
                <w:rFonts w:hint="eastAsia"/>
                <w:b/>
                <w:bCs/>
                <w:color w:val="0000FF"/>
                <w:szCs w:val="21"/>
                <w:lang w:val="en-US" w:eastAsia="zh-CN"/>
              </w:rPr>
              <w:t>3消防水带</w:t>
            </w:r>
            <w:r>
              <w:rPr>
                <w:rFonts w:hint="eastAsia"/>
                <w:b/>
                <w:bCs/>
                <w:color w:val="0000FF"/>
                <w:szCs w:val="21"/>
              </w:rPr>
              <w:t>工艺流程及产污环节图</w:t>
            </w:r>
          </w:p>
          <w:p>
            <w:pPr>
              <w:pStyle w:val="26"/>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工艺流程简述：</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2" w:firstLineChars="200"/>
              <w:textAlignment w:val="auto"/>
              <w:rPr>
                <w:sz w:val="24"/>
              </w:rPr>
            </w:pPr>
            <w:r>
              <w:rPr>
                <w:rFonts w:hint="eastAsia" w:eastAsiaTheme="minorEastAsia"/>
                <w:b/>
                <w:color w:val="000000"/>
                <w:sz w:val="24"/>
              </w:rPr>
              <w:t>并线、加捻</w:t>
            </w:r>
            <w:r>
              <w:rPr>
                <w:rFonts w:hint="eastAsia"/>
                <w:sz w:val="24"/>
              </w:rPr>
              <w:t>：将外购涤纶长丝、涤纶纱经捻线、拼线，拼经线和纬线，产生废涤纶丝S7。</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2" w:firstLineChars="200"/>
              <w:textAlignment w:val="auto"/>
              <w:rPr>
                <w:sz w:val="24"/>
              </w:rPr>
            </w:pPr>
            <w:r>
              <w:rPr>
                <w:rFonts w:hint="eastAsia" w:eastAsiaTheme="minorEastAsia"/>
                <w:b/>
                <w:color w:val="000000"/>
                <w:sz w:val="24"/>
              </w:rPr>
              <w:t>编织</w:t>
            </w:r>
            <w:r>
              <w:rPr>
                <w:rFonts w:hint="eastAsia"/>
                <w:sz w:val="24"/>
              </w:rPr>
              <w:t>：通过圆织机将涤纶线织造成型，制成消防水带坯，产生废涤纶丝S8；</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eastAsia="宋体"/>
                <w:sz w:val="24"/>
                <w:lang w:val="en-US" w:eastAsia="zh-CN"/>
              </w:rPr>
            </w:pPr>
            <w:r>
              <w:rPr>
                <w:rFonts w:hint="eastAsia" w:eastAsiaTheme="minorEastAsia"/>
                <w:b/>
                <w:color w:val="000000"/>
                <w:sz w:val="24"/>
              </w:rPr>
              <w:t>挤出成管</w:t>
            </w:r>
            <w:r>
              <w:rPr>
                <w:rFonts w:hint="eastAsia"/>
                <w:sz w:val="24"/>
              </w:rPr>
              <w:t>：外购树脂</w:t>
            </w:r>
            <w:r>
              <w:rPr>
                <w:rFonts w:hint="eastAsia"/>
                <w:sz w:val="24"/>
                <w:lang w:val="en-US" w:eastAsia="zh-CN"/>
              </w:rPr>
              <w:t>粒子</w:t>
            </w:r>
            <w:r>
              <w:rPr>
                <w:rFonts w:hint="eastAsia"/>
                <w:sz w:val="24"/>
              </w:rPr>
              <w:t>经挤管机挤出成管（温度 130-170℃），</w:t>
            </w:r>
            <w:r>
              <w:rPr>
                <w:rFonts w:hint="eastAsia"/>
                <w:sz w:val="24"/>
                <w:lang w:val="en-US" w:eastAsia="zh-CN"/>
              </w:rPr>
              <w:t>产生废气G6和噪声N。</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sz w:val="24"/>
              </w:rPr>
            </w:pPr>
            <w:r>
              <w:rPr>
                <w:rFonts w:hint="eastAsia" w:eastAsiaTheme="minorEastAsia"/>
                <w:b/>
                <w:color w:val="000000"/>
                <w:sz w:val="24"/>
              </w:rPr>
              <w:t>穿管、热粘</w:t>
            </w:r>
            <w:r>
              <w:rPr>
                <w:rFonts w:hint="eastAsia" w:eastAsiaTheme="minorEastAsia"/>
                <w:b/>
                <w:color w:val="000000"/>
                <w:sz w:val="24"/>
                <w:lang w:eastAsia="zh-CN"/>
              </w:rPr>
              <w:t>：</w:t>
            </w:r>
            <w:r>
              <w:rPr>
                <w:rFonts w:hint="eastAsia"/>
                <w:sz w:val="24"/>
              </w:rPr>
              <w:t>用水冷却后制成内衬管坯；接着，进入复合（衬套）工序，将挤出的成管进入复合（衬套）工序，内衬管坯在衬套前要先进行树脂涂层，树脂粒熔融后涂覆在管坯外，涂层后内衬管坯穿入水带坯内，并电加热</w:t>
            </w:r>
            <w:r>
              <w:rPr>
                <w:rFonts w:hint="eastAsia"/>
                <w:sz w:val="24"/>
                <w:lang w:eastAsia="zh-CN"/>
              </w:rPr>
              <w:t>（</w:t>
            </w:r>
            <w:r>
              <w:rPr>
                <w:rFonts w:hint="eastAsia"/>
                <w:sz w:val="24"/>
                <w:lang w:val="en-US" w:eastAsia="zh-CN"/>
              </w:rPr>
              <w:t>90-110</w:t>
            </w:r>
            <w:r>
              <w:rPr>
                <w:rFonts w:hint="eastAsia"/>
                <w:sz w:val="24"/>
              </w:rPr>
              <w:t>℃</w:t>
            </w:r>
            <w:r>
              <w:rPr>
                <w:rFonts w:hint="eastAsia"/>
                <w:sz w:val="24"/>
                <w:lang w:eastAsia="zh-CN"/>
              </w:rPr>
              <w:t>）</w:t>
            </w:r>
            <w:r>
              <w:rPr>
                <w:rFonts w:hint="eastAsia"/>
                <w:sz w:val="24"/>
              </w:rPr>
              <w:t>，使内衬管坯和水带充分粘合，产生噪声N、有机废气G</w:t>
            </w:r>
            <w:r>
              <w:rPr>
                <w:rFonts w:hint="eastAsia"/>
                <w:sz w:val="24"/>
                <w:lang w:val="en-US" w:eastAsia="zh-CN"/>
              </w:rPr>
              <w:t>7</w:t>
            </w:r>
            <w:r>
              <w:rPr>
                <w:rFonts w:hint="eastAsia"/>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sz w:val="24"/>
              </w:rPr>
            </w:pPr>
            <w:r>
              <w:rPr>
                <w:rFonts w:hint="eastAsia" w:eastAsiaTheme="minorEastAsia"/>
                <w:b/>
                <w:color w:val="000000"/>
                <w:sz w:val="24"/>
              </w:rPr>
              <w:t>冷却</w:t>
            </w:r>
            <w:r>
              <w:rPr>
                <w:rFonts w:hint="eastAsia"/>
                <w:sz w:val="24"/>
              </w:rPr>
              <w:t>：冷却后即为消防水带成品；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2" w:firstLineChars="200"/>
              <w:textAlignment w:val="auto"/>
              <w:rPr>
                <w:rFonts w:hint="eastAsia"/>
                <w:sz w:val="24"/>
              </w:rPr>
            </w:pPr>
            <w:r>
              <w:rPr>
                <w:rFonts w:hint="eastAsia" w:eastAsiaTheme="minorEastAsia"/>
                <w:b/>
                <w:color w:val="000000"/>
                <w:sz w:val="24"/>
              </w:rPr>
              <w:t>印字：</w:t>
            </w:r>
            <w:r>
              <w:rPr>
                <w:rFonts w:hint="eastAsia"/>
                <w:sz w:val="24"/>
              </w:rPr>
              <w:t>将外购的字体印在消防水带成品，会产生有机废气G</w:t>
            </w:r>
            <w:r>
              <w:rPr>
                <w:rFonts w:hint="eastAsia"/>
                <w:sz w:val="24"/>
                <w:lang w:val="en-US" w:eastAsia="zh-CN"/>
              </w:rPr>
              <w:t>8</w:t>
            </w:r>
            <w:r>
              <w:rPr>
                <w:rFonts w:hint="eastAsia"/>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2" w:firstLineChars="200"/>
              <w:textAlignment w:val="auto"/>
              <w:rPr>
                <w:sz w:val="24"/>
              </w:rPr>
            </w:pPr>
            <w:r>
              <w:rPr>
                <w:rFonts w:hint="eastAsia" w:eastAsiaTheme="minorEastAsia"/>
                <w:b/>
                <w:color w:val="000000"/>
                <w:sz w:val="24"/>
              </w:rPr>
              <w:t>包装入库：</w:t>
            </w:r>
            <w:r>
              <w:rPr>
                <w:rFonts w:hint="eastAsia"/>
                <w:sz w:val="24"/>
              </w:rPr>
              <w:t>最后，将消防接口成品与消防水带成品并包装后入库出厂。</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b/>
                <w:bCs/>
                <w:sz w:val="24"/>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b/>
                <w:bCs/>
                <w:sz w:val="24"/>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b/>
                <w:bCs/>
                <w:sz w:val="24"/>
              </w:rPr>
            </w:pPr>
            <w:r>
              <w:rPr>
                <w:rFonts w:hint="eastAsia"/>
                <w:b/>
                <w:bCs/>
                <w:sz w:val="24"/>
              </w:rPr>
              <w:t>3、</w:t>
            </w:r>
            <w:r>
              <w:rPr>
                <w:rFonts w:hint="eastAsia"/>
                <w:b/>
                <w:bCs/>
                <w:sz w:val="24"/>
                <w:lang w:val="en-US" w:eastAsia="zh-CN"/>
              </w:rPr>
              <w:t>高端（</w:t>
            </w:r>
            <w:r>
              <w:rPr>
                <w:rFonts w:hint="eastAsia"/>
                <w:b/>
                <w:bCs/>
                <w:sz w:val="24"/>
              </w:rPr>
              <w:t>智慧</w:t>
            </w:r>
            <w:r>
              <w:rPr>
                <w:rFonts w:hint="eastAsia"/>
                <w:b/>
                <w:bCs/>
                <w:sz w:val="24"/>
                <w:lang w:val="en-US" w:eastAsia="zh-CN"/>
              </w:rPr>
              <w:t>）</w:t>
            </w:r>
            <w:r>
              <w:rPr>
                <w:rFonts w:hint="eastAsia"/>
                <w:b/>
                <w:bCs/>
                <w:sz w:val="24"/>
              </w:rPr>
              <w:t>消防设施工艺流程</w:t>
            </w:r>
          </w:p>
          <w:p>
            <w:pPr>
              <w:spacing w:line="360" w:lineRule="auto"/>
              <w:ind w:left="420" w:leftChars="200"/>
              <w:jc w:val="center"/>
              <w:rPr>
                <w:b/>
                <w:szCs w:val="21"/>
              </w:rPr>
            </w:pPr>
            <w:r>
              <w:rPr>
                <w:b/>
                <w:szCs w:val="21"/>
              </w:rPr>
              <w:drawing>
                <wp:inline distT="0" distB="0" distL="114300" distR="114300">
                  <wp:extent cx="1057910" cy="3308985"/>
                  <wp:effectExtent l="0" t="0" r="0" b="0"/>
                  <wp:docPr id="3" name="ECB019B1-382A-4266-B25C-5B523AA43C14-4"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4" descr="wps"/>
                          <pic:cNvPicPr>
                            <a:picLocks noChangeAspect="1"/>
                          </pic:cNvPicPr>
                        </pic:nvPicPr>
                        <pic:blipFill>
                          <a:blip r:embed="rId13"/>
                          <a:stretch>
                            <a:fillRect/>
                          </a:stretch>
                        </pic:blipFill>
                        <pic:spPr>
                          <a:xfrm>
                            <a:off x="0" y="0"/>
                            <a:ext cx="1057910" cy="3308985"/>
                          </a:xfrm>
                          <a:prstGeom prst="rect">
                            <a:avLst/>
                          </a:prstGeom>
                        </pic:spPr>
                      </pic:pic>
                    </a:graphicData>
                  </a:graphic>
                </wp:inline>
              </w:drawing>
            </w:r>
          </w:p>
          <w:p>
            <w:pPr>
              <w:spacing w:line="360" w:lineRule="auto"/>
              <w:ind w:left="420" w:leftChars="200"/>
              <w:jc w:val="center"/>
              <w:rPr>
                <w:b/>
                <w:szCs w:val="21"/>
              </w:rPr>
            </w:pPr>
            <w:r>
              <w:rPr>
                <w:b/>
                <w:szCs w:val="21"/>
              </w:rPr>
              <w:t>图</w:t>
            </w:r>
            <w:r>
              <w:rPr>
                <w:rFonts w:hint="eastAsia"/>
                <w:b/>
                <w:szCs w:val="21"/>
              </w:rPr>
              <w:t>2</w:t>
            </w:r>
            <w:r>
              <w:rPr>
                <w:b/>
                <w:szCs w:val="21"/>
              </w:rPr>
              <w:t>-</w:t>
            </w:r>
            <w:r>
              <w:rPr>
                <w:rFonts w:hint="eastAsia"/>
                <w:b/>
                <w:color w:val="0000FF"/>
                <w:szCs w:val="21"/>
                <w:lang w:val="en-US" w:eastAsia="zh-CN"/>
              </w:rPr>
              <w:t>4高端（智慧）消防设施</w:t>
            </w:r>
            <w:r>
              <w:rPr>
                <w:b/>
                <w:szCs w:val="21"/>
              </w:rPr>
              <w:t>生产工艺流程及产污节点图</w:t>
            </w:r>
          </w:p>
          <w:p>
            <w:pPr>
              <w:spacing w:line="500" w:lineRule="exact"/>
              <w:ind w:firstLine="422" w:firstLineChars="200"/>
              <w:rPr>
                <w:b/>
                <w:bCs/>
                <w:szCs w:val="21"/>
              </w:rPr>
            </w:pPr>
            <w:r>
              <w:rPr>
                <w:b/>
                <w:bCs/>
                <w:szCs w:val="21"/>
              </w:rPr>
              <w:t>工艺流程简述：</w:t>
            </w:r>
          </w:p>
          <w:p>
            <w:pPr>
              <w:spacing w:line="500" w:lineRule="exact"/>
              <w:ind w:firstLine="480" w:firstLineChars="200"/>
              <w:rPr>
                <w:sz w:val="24"/>
              </w:rPr>
            </w:pPr>
            <w:r>
              <w:rPr>
                <w:rFonts w:hint="eastAsia"/>
                <w:sz w:val="24"/>
              </w:rPr>
              <w:t>方案设计：合同签订后，工程师根据实际情况设计方案；</w:t>
            </w:r>
          </w:p>
          <w:p>
            <w:pPr>
              <w:spacing w:line="500" w:lineRule="exact"/>
              <w:ind w:firstLine="480" w:firstLineChars="200"/>
              <w:rPr>
                <w:sz w:val="24"/>
              </w:rPr>
            </w:pPr>
            <w:r>
              <w:rPr>
                <w:rFonts w:hint="eastAsia"/>
                <w:sz w:val="24"/>
              </w:rPr>
              <w:t>方案设计审核：邀请专家团队审核设计方案；</w:t>
            </w:r>
          </w:p>
          <w:p>
            <w:pPr>
              <w:spacing w:line="500" w:lineRule="exact"/>
              <w:ind w:firstLine="480" w:firstLineChars="200"/>
              <w:rPr>
                <w:sz w:val="24"/>
              </w:rPr>
            </w:pPr>
            <w:r>
              <w:rPr>
                <w:rFonts w:hint="eastAsia"/>
                <w:sz w:val="24"/>
              </w:rPr>
              <w:t>方案实施计划：工程师根据方案提出实施计划；</w:t>
            </w:r>
          </w:p>
          <w:p>
            <w:pPr>
              <w:spacing w:line="500" w:lineRule="exact"/>
              <w:ind w:firstLine="480" w:firstLineChars="200"/>
              <w:rPr>
                <w:sz w:val="24"/>
              </w:rPr>
            </w:pPr>
            <w:r>
              <w:rPr>
                <w:rFonts w:hint="eastAsia"/>
                <w:sz w:val="24"/>
              </w:rPr>
              <w:t>组件采购：采购方案所需组件；</w:t>
            </w:r>
          </w:p>
          <w:p>
            <w:pPr>
              <w:spacing w:line="500" w:lineRule="exact"/>
              <w:ind w:firstLine="480" w:firstLineChars="200"/>
              <w:rPr>
                <w:sz w:val="24"/>
              </w:rPr>
            </w:pPr>
            <w:r>
              <w:rPr>
                <w:rFonts w:hint="eastAsia"/>
                <w:sz w:val="24"/>
              </w:rPr>
              <w:t>装配：</w:t>
            </w:r>
            <w:r>
              <w:rPr>
                <w:rFonts w:hint="eastAsia"/>
                <w:sz w:val="24"/>
                <w:lang w:val="en-US" w:eastAsia="zh-CN"/>
              </w:rPr>
              <w:t>施工现场</w:t>
            </w:r>
            <w:r>
              <w:rPr>
                <w:rFonts w:hint="eastAsia"/>
                <w:sz w:val="24"/>
              </w:rPr>
              <w:t>组装所采购组件；</w:t>
            </w:r>
          </w:p>
          <w:p>
            <w:pPr>
              <w:spacing w:line="500" w:lineRule="exact"/>
              <w:ind w:firstLine="480" w:firstLineChars="200"/>
              <w:rPr>
                <w:sz w:val="24"/>
              </w:rPr>
            </w:pPr>
            <w:r>
              <w:rPr>
                <w:rFonts w:hint="eastAsia"/>
                <w:sz w:val="24"/>
              </w:rPr>
              <w:t>调试、检验：调试装配好的产品；</w:t>
            </w:r>
          </w:p>
          <w:p>
            <w:pPr>
              <w:spacing w:line="500" w:lineRule="exact"/>
              <w:ind w:firstLine="480" w:firstLineChars="200"/>
              <w:rPr>
                <w:sz w:val="24"/>
              </w:rPr>
            </w:pPr>
            <w:r>
              <w:rPr>
                <w:rFonts w:hint="eastAsia"/>
                <w:sz w:val="24"/>
              </w:rPr>
              <w:t>入库：将检验完的产品打包入库。</w:t>
            </w:r>
          </w:p>
          <w:p>
            <w:pPr>
              <w:numPr>
                <w:ilvl w:val="0"/>
                <w:numId w:val="6"/>
              </w:numPr>
              <w:spacing w:line="500" w:lineRule="exact"/>
              <w:ind w:firstLine="482" w:firstLineChars="200"/>
              <w:rPr>
                <w:b/>
                <w:bCs/>
                <w:sz w:val="24"/>
              </w:rPr>
            </w:pPr>
            <w:r>
              <w:rPr>
                <w:rFonts w:hint="eastAsia"/>
                <w:b/>
                <w:bCs/>
                <w:sz w:val="24"/>
              </w:rPr>
              <w:t>项目营运期产污环节</w:t>
            </w:r>
          </w:p>
          <w:p>
            <w:pPr>
              <w:pStyle w:val="89"/>
              <w:spacing w:line="500" w:lineRule="exact"/>
              <w:ind w:firstLine="480" w:firstLineChars="200"/>
              <w:jc w:val="left"/>
              <w:rPr>
                <w:rFonts w:ascii="Times New Roman" w:hAnsi="Times New Roman"/>
                <w:b/>
                <w:bCs/>
                <w:color w:val="000000"/>
                <w:szCs w:val="24"/>
                <w:shd w:val="clear" w:color="auto" w:fill="FFFFFF"/>
              </w:rPr>
            </w:pPr>
            <w:r>
              <w:rPr>
                <w:rFonts w:ascii="Times New Roman" w:hAnsi="Times New Roman"/>
                <w:color w:val="000000"/>
                <w:szCs w:val="24"/>
              </w:rPr>
              <w:t>本项目主要产污工序及污染物对照表见下表：</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FF"/>
                <w:szCs w:val="21"/>
                <w:lang w:val="en-US" w:eastAsia="zh-CN"/>
              </w:rPr>
              <w:t>6</w:t>
            </w:r>
            <w:r>
              <w:rPr>
                <w:b/>
                <w:bCs/>
                <w:color w:val="000000" w:themeColor="text1"/>
                <w:szCs w:val="21"/>
                <w14:textFill>
                  <w14:solidFill>
                    <w14:schemeClr w14:val="tx1"/>
                  </w14:solidFill>
                </w14:textFill>
              </w:rPr>
              <w:t>本项目产污环节及采取措施情况一览表</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88"/>
              <w:gridCol w:w="1010"/>
              <w:gridCol w:w="1057"/>
              <w:gridCol w:w="1168"/>
              <w:gridCol w:w="1448"/>
              <w:gridCol w:w="32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gridSpan w:val="2"/>
                  <w:tcBorders>
                    <w:tl2br w:val="nil"/>
                    <w:tr2bl w:val="nil"/>
                  </w:tcBorders>
                  <w:tcMar>
                    <w:top w:w="15" w:type="dxa"/>
                    <w:left w:w="15" w:type="dxa"/>
                    <w:right w:w="15" w:type="dxa"/>
                  </w:tcMar>
                  <w:vAlign w:val="center"/>
                </w:tcPr>
                <w:p>
                  <w:pPr>
                    <w:widowControl/>
                    <w:jc w:val="center"/>
                    <w:textAlignment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类别</w:t>
                  </w:r>
                </w:p>
              </w:tc>
              <w:tc>
                <w:tcPr>
                  <w:tcW w:w="1001" w:type="dxa"/>
                  <w:tcBorders>
                    <w:tl2br w:val="nil"/>
                    <w:tr2bl w:val="nil"/>
                  </w:tcBorders>
                  <w:tcMar>
                    <w:top w:w="15" w:type="dxa"/>
                    <w:left w:w="15" w:type="dxa"/>
                    <w:right w:w="15" w:type="dxa"/>
                  </w:tcMar>
                  <w:vAlign w:val="center"/>
                </w:tcPr>
                <w:p>
                  <w:pPr>
                    <w:widowControl/>
                    <w:jc w:val="center"/>
                    <w:textAlignment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产污工序</w:t>
                  </w:r>
                </w:p>
              </w:tc>
              <w:tc>
                <w:tcPr>
                  <w:tcW w:w="1106" w:type="dxa"/>
                  <w:tcBorders>
                    <w:tl2br w:val="nil"/>
                    <w:tr2bl w:val="nil"/>
                  </w:tcBorders>
                  <w:tcMar>
                    <w:top w:w="15" w:type="dxa"/>
                    <w:left w:w="15" w:type="dxa"/>
                    <w:right w:w="15" w:type="dxa"/>
                  </w:tcMar>
                  <w:vAlign w:val="center"/>
                </w:tcPr>
                <w:p>
                  <w:pPr>
                    <w:widowControl/>
                    <w:jc w:val="center"/>
                    <w:textAlignment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主要污染物</w:t>
                  </w:r>
                </w:p>
              </w:tc>
              <w:tc>
                <w:tcPr>
                  <w:tcW w:w="1371" w:type="dxa"/>
                  <w:tcBorders>
                    <w:tl2br w:val="nil"/>
                    <w:tr2bl w:val="nil"/>
                  </w:tcBorders>
                  <w:tcMar>
                    <w:top w:w="15" w:type="dxa"/>
                    <w:left w:w="15" w:type="dxa"/>
                    <w:right w:w="15" w:type="dxa"/>
                  </w:tcMar>
                  <w:vAlign w:val="center"/>
                </w:tcPr>
                <w:p>
                  <w:pPr>
                    <w:widowControl/>
                    <w:jc w:val="center"/>
                    <w:textAlignment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主要成份</w:t>
                  </w:r>
                </w:p>
              </w:tc>
              <w:tc>
                <w:tcPr>
                  <w:tcW w:w="3049" w:type="dxa"/>
                  <w:tcBorders>
                    <w:tl2br w:val="nil"/>
                    <w:tr2bl w:val="nil"/>
                  </w:tcBorders>
                  <w:noWrap/>
                  <w:tcMar>
                    <w:top w:w="15" w:type="dxa"/>
                    <w:left w:w="15" w:type="dxa"/>
                    <w:right w:w="15" w:type="dxa"/>
                  </w:tcMar>
                  <w:vAlign w:val="center"/>
                </w:tcPr>
                <w:p>
                  <w:pPr>
                    <w:widowControl/>
                    <w:jc w:val="center"/>
                    <w:textAlignment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拟采取治理措施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restart"/>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废气</w:t>
                  </w: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G1</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熔化</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颗粒物废气</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颗粒物</w:t>
                  </w:r>
                </w:p>
              </w:tc>
              <w:tc>
                <w:tcPr>
                  <w:tcW w:w="3049"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布袋除尘</w:t>
                  </w:r>
                  <w:r>
                    <w:rPr>
                      <w:color w:val="000000" w:themeColor="text1"/>
                      <w:kern w:val="0"/>
                      <w:szCs w:val="21"/>
                      <w:lang w:bidi="ar"/>
                      <w14:textFill>
                        <w14:solidFill>
                          <w14:schemeClr w14:val="tx1"/>
                        </w14:solidFill>
                      </w14:textFill>
                    </w:rPr>
                    <w:t>系统＋1根</w:t>
                  </w:r>
                  <w:r>
                    <w:rPr>
                      <w:rFonts w:hint="eastAsia"/>
                      <w:color w:val="000000" w:themeColor="text1"/>
                      <w:kern w:val="0"/>
                      <w:szCs w:val="21"/>
                      <w:lang w:bidi="ar"/>
                      <w14:textFill>
                        <w14:solidFill>
                          <w14:schemeClr w14:val="tx1"/>
                        </w14:solidFill>
                      </w14:textFill>
                    </w:rPr>
                    <w:t>15</w:t>
                  </w:r>
                  <w:r>
                    <w:rPr>
                      <w:color w:val="000000" w:themeColor="text1"/>
                      <w:kern w:val="0"/>
                      <w:szCs w:val="21"/>
                      <w:lang w:bidi="ar"/>
                      <w14:textFill>
                        <w14:solidFill>
                          <w14:schemeClr w14:val="tx1"/>
                        </w14:solidFill>
                      </w14:textFill>
                    </w:rPr>
                    <w:t>m排气筒（</w:t>
                  </w:r>
                  <w:r>
                    <w:rPr>
                      <w:rFonts w:hint="eastAsia"/>
                      <w:color w:val="000000" w:themeColor="text1"/>
                      <w:kern w:val="0"/>
                      <w:szCs w:val="21"/>
                      <w:lang w:bidi="ar"/>
                      <w14:textFill>
                        <w14:solidFill>
                          <w14:schemeClr w14:val="tx1"/>
                        </w14:solidFill>
                      </w14:textFill>
                    </w:rPr>
                    <w:t>DA001</w:t>
                  </w:r>
                  <w:r>
                    <w:rPr>
                      <w:color w:val="000000" w:themeColor="text1"/>
                      <w:kern w:val="0"/>
                      <w:szCs w:val="21"/>
                      <w:lang w:bidi="ar"/>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G2</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压铸</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有机废气</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非甲烷总烃</w:t>
                  </w:r>
                </w:p>
              </w:tc>
              <w:tc>
                <w:tcPr>
                  <w:tcW w:w="3049" w:type="dxa"/>
                  <w:tcBorders>
                    <w:tl2br w:val="nil"/>
                    <w:tr2bl w:val="nil"/>
                  </w:tcBorders>
                  <w:noWrap/>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二级活性炭吸附系统+一根15m排气筒（DA002）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G3</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抛丸</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抛丸废气</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颗粒物</w:t>
                  </w:r>
                </w:p>
              </w:tc>
              <w:tc>
                <w:tcPr>
                  <w:tcW w:w="3049" w:type="dxa"/>
                  <w:tcBorders>
                    <w:tl2br w:val="nil"/>
                    <w:tr2bl w:val="nil"/>
                  </w:tcBorders>
                  <w:noWrap/>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布袋除尘+一根15m高排气筒（DA003）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G4</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表面喷塑</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粉尘废气</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颗粒物</w:t>
                  </w:r>
                </w:p>
              </w:tc>
              <w:tc>
                <w:tcPr>
                  <w:tcW w:w="3049" w:type="dxa"/>
                  <w:tcBorders>
                    <w:tl2br w:val="nil"/>
                    <w:tr2bl w:val="nil"/>
                  </w:tcBorders>
                  <w:noWrap/>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玻璃纤维过滤+一根15m高排气筒（DA004）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G5</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固化</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有机废气</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非甲烷总烃</w:t>
                  </w:r>
                </w:p>
              </w:tc>
              <w:tc>
                <w:tcPr>
                  <w:tcW w:w="3049" w:type="dxa"/>
                  <w:tcBorders>
                    <w:tl2br w:val="nil"/>
                    <w:tr2bl w:val="nil"/>
                  </w:tcBorders>
                  <w:noWrap/>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二级活性炭吸附系统+一根15m排气筒（DA004）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G6</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挤出、穿管热粘</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有机废气</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非甲烷总烃</w:t>
                  </w:r>
                </w:p>
              </w:tc>
              <w:tc>
                <w:tcPr>
                  <w:tcW w:w="3049" w:type="dxa"/>
                  <w:tcBorders>
                    <w:tl2br w:val="nil"/>
                    <w:tr2bl w:val="nil"/>
                  </w:tcBorders>
                  <w:noWrap/>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二级活性炭吸附系统+一根15m排气筒（DA005）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G7</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印字</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有机废气</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非甲烷总烃</w:t>
                  </w:r>
                </w:p>
              </w:tc>
              <w:tc>
                <w:tcPr>
                  <w:tcW w:w="3049" w:type="dxa"/>
                  <w:tcBorders>
                    <w:tl2br w:val="nil"/>
                    <w:tr2bl w:val="nil"/>
                  </w:tcBorders>
                  <w:noWrap/>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加强车间通风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G8</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危废仓库</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有机废气</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非甲烷总烃</w:t>
                  </w:r>
                </w:p>
              </w:tc>
              <w:tc>
                <w:tcPr>
                  <w:tcW w:w="3049" w:type="dxa"/>
                  <w:tcBorders>
                    <w:tl2br w:val="nil"/>
                    <w:tr2bl w:val="nil"/>
                  </w:tcBorders>
                  <w:noWrap/>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二级活性炭吸附系统+一根15m排气筒（DA006）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restart"/>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废水</w:t>
                  </w: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w:t>
                  </w:r>
                  <w:r>
                    <w:rPr>
                      <w:rFonts w:hint="eastAsia"/>
                      <w:color w:val="000000" w:themeColor="text1"/>
                      <w:kern w:val="0"/>
                      <w:szCs w:val="21"/>
                      <w:lang w:bidi="ar"/>
                      <w14:textFill>
                        <w14:solidFill>
                          <w14:schemeClr w14:val="tx1"/>
                        </w14:solidFill>
                      </w14:textFill>
                    </w:rPr>
                    <w:t>1</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压铸</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冷却水</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3049"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仅补充，循环使用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W2</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振磨</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振磨废水</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w:t>
                  </w:r>
                </w:p>
              </w:tc>
              <w:tc>
                <w:tcPr>
                  <w:tcW w:w="3049"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经沉淀池沉淀后循环使用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W3</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职工生活</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生活污水</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COD、SS、TN、NH</w:t>
                  </w:r>
                  <w:r>
                    <w:rPr>
                      <w:color w:val="000000" w:themeColor="text1"/>
                      <w:kern w:val="0"/>
                      <w:szCs w:val="21"/>
                      <w:vertAlign w:val="subscript"/>
                      <w:lang w:bidi="ar"/>
                      <w14:textFill>
                        <w14:solidFill>
                          <w14:schemeClr w14:val="tx1"/>
                        </w14:solidFill>
                      </w14:textFill>
                    </w:rPr>
                    <w:t>3</w:t>
                  </w:r>
                  <w:r>
                    <w:rPr>
                      <w:color w:val="000000" w:themeColor="text1"/>
                      <w:kern w:val="0"/>
                      <w:szCs w:val="21"/>
                      <w:lang w:bidi="ar"/>
                      <w14:textFill>
                        <w14:solidFill>
                          <w14:schemeClr w14:val="tx1"/>
                        </w14:solidFill>
                      </w14:textFill>
                    </w:rPr>
                    <w:t>-N、TP</w:t>
                  </w:r>
                </w:p>
              </w:tc>
              <w:tc>
                <w:tcPr>
                  <w:tcW w:w="3049"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接入市政污水管网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restart"/>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固废</w:t>
                  </w: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S1</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熔炼</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铝渣</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铝渣</w:t>
                  </w:r>
                </w:p>
              </w:tc>
              <w:tc>
                <w:tcPr>
                  <w:tcW w:w="3049"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外售综合利用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S2</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压铸</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脱模废液</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脱模剂</w:t>
                  </w:r>
                </w:p>
              </w:tc>
              <w:tc>
                <w:tcPr>
                  <w:tcW w:w="3049" w:type="dxa"/>
                  <w:tcBorders>
                    <w:tl2br w:val="nil"/>
                    <w:tr2bl w:val="nil"/>
                  </w:tcBorders>
                  <w:tcMar>
                    <w:top w:w="15" w:type="dxa"/>
                    <w:left w:w="15" w:type="dxa"/>
                    <w:right w:w="15" w:type="dxa"/>
                  </w:tcMar>
                  <w:vAlign w:val="center"/>
                </w:tcPr>
                <w:p>
                  <w:pPr>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委托有资质单位处置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S3、</w:t>
                  </w:r>
                  <w:r>
                    <w:rPr>
                      <w:rFonts w:hint="eastAsia"/>
                      <w:color w:val="000000" w:themeColor="text1"/>
                      <w:kern w:val="0"/>
                      <w:szCs w:val="21"/>
                      <w:lang w:bidi="ar"/>
                      <w14:textFill>
                        <w14:solidFill>
                          <w14:schemeClr w14:val="tx1"/>
                        </w14:solidFill>
                      </w14:textFill>
                    </w:rPr>
                    <w:t>S4</w:t>
                  </w:r>
                </w:p>
              </w:tc>
              <w:tc>
                <w:tcPr>
                  <w:tcW w:w="1001" w:type="dxa"/>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抛丸、振磨</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铝屑</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铝屑</w:t>
                  </w:r>
                </w:p>
              </w:tc>
              <w:tc>
                <w:tcPr>
                  <w:tcW w:w="3049"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外售综合利用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S5</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机械加工</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边角料</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铝</w:t>
                  </w:r>
                </w:p>
              </w:tc>
              <w:tc>
                <w:tcPr>
                  <w:tcW w:w="3049" w:type="dxa"/>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外售综合利用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S6</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机械加工</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废切削液</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切削液</w:t>
                  </w:r>
                </w:p>
              </w:tc>
              <w:tc>
                <w:tcPr>
                  <w:tcW w:w="3049" w:type="dxa"/>
                  <w:tcBorders>
                    <w:tl2br w:val="nil"/>
                    <w:tr2bl w:val="nil"/>
                  </w:tcBorders>
                  <w:tcMar>
                    <w:top w:w="15" w:type="dxa"/>
                    <w:left w:w="15" w:type="dxa"/>
                    <w:right w:w="15" w:type="dxa"/>
                  </w:tcMar>
                  <w:vAlign w:val="center"/>
                </w:tcPr>
                <w:p>
                  <w:pPr>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委托有资质单位处置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S7、S8</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加捻、编织</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废涤纶丝</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涤纶丝</w:t>
                  </w:r>
                </w:p>
              </w:tc>
              <w:tc>
                <w:tcPr>
                  <w:tcW w:w="3049" w:type="dxa"/>
                  <w:tcBorders>
                    <w:tl2br w:val="nil"/>
                    <w:tr2bl w:val="nil"/>
                  </w:tcBorders>
                  <w:tcMar>
                    <w:top w:w="15" w:type="dxa"/>
                    <w:left w:w="15" w:type="dxa"/>
                    <w:right w:w="15" w:type="dxa"/>
                  </w:tcMar>
                  <w:vAlign w:val="center"/>
                </w:tcPr>
                <w:p>
                  <w:pPr>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外售综合利用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rFonts w:hint="default" w:eastAsia="宋体"/>
                      <w:color w:val="FF0000"/>
                      <w:szCs w:val="21"/>
                      <w:lang w:val="en-US" w:eastAsia="zh-CN"/>
                    </w:rPr>
                  </w:pPr>
                  <w:r>
                    <w:rPr>
                      <w:rFonts w:hint="eastAsia"/>
                      <w:color w:val="FF0000"/>
                      <w:szCs w:val="21"/>
                      <w:lang w:val="en-US" w:eastAsia="zh-CN"/>
                    </w:rPr>
                    <w:t>S9</w:t>
                  </w:r>
                </w:p>
              </w:tc>
              <w:tc>
                <w:tcPr>
                  <w:tcW w:w="1001" w:type="dxa"/>
                  <w:tcBorders>
                    <w:tl2br w:val="nil"/>
                    <w:tr2bl w:val="nil"/>
                  </w:tcBorders>
                  <w:tcMar>
                    <w:top w:w="15" w:type="dxa"/>
                    <w:left w:w="15" w:type="dxa"/>
                    <w:right w:w="15" w:type="dxa"/>
                  </w:tcMar>
                  <w:vAlign w:val="center"/>
                </w:tcPr>
                <w:p>
                  <w:pPr>
                    <w:widowControl/>
                    <w:jc w:val="center"/>
                    <w:textAlignment w:val="center"/>
                    <w:rPr>
                      <w:rFonts w:hint="eastAsia" w:eastAsia="宋体"/>
                      <w:color w:val="FF0000"/>
                      <w:kern w:val="0"/>
                      <w:szCs w:val="21"/>
                      <w:lang w:val="en-US" w:eastAsia="zh-CN" w:bidi="ar"/>
                    </w:rPr>
                  </w:pPr>
                  <w:r>
                    <w:rPr>
                      <w:rFonts w:hint="eastAsia"/>
                      <w:color w:val="FF0000"/>
                      <w:kern w:val="0"/>
                      <w:szCs w:val="21"/>
                      <w:lang w:val="en-US" w:eastAsia="zh-CN" w:bidi="ar"/>
                    </w:rPr>
                    <w:t>沉淀池</w:t>
                  </w:r>
                </w:p>
              </w:tc>
              <w:tc>
                <w:tcPr>
                  <w:tcW w:w="1106" w:type="dxa"/>
                  <w:tcBorders>
                    <w:tl2br w:val="nil"/>
                    <w:tr2bl w:val="nil"/>
                  </w:tcBorders>
                  <w:tcMar>
                    <w:top w:w="15" w:type="dxa"/>
                    <w:left w:w="15" w:type="dxa"/>
                    <w:right w:w="15" w:type="dxa"/>
                  </w:tcMar>
                  <w:vAlign w:val="center"/>
                </w:tcPr>
                <w:p>
                  <w:pPr>
                    <w:widowControl/>
                    <w:jc w:val="center"/>
                    <w:textAlignment w:val="center"/>
                    <w:rPr>
                      <w:rFonts w:hint="eastAsia" w:eastAsia="宋体"/>
                      <w:color w:val="FF0000"/>
                      <w:kern w:val="0"/>
                      <w:szCs w:val="21"/>
                      <w:lang w:val="en-US" w:eastAsia="zh-CN" w:bidi="ar"/>
                    </w:rPr>
                  </w:pPr>
                  <w:r>
                    <w:rPr>
                      <w:rFonts w:hint="eastAsia"/>
                      <w:color w:val="FF0000"/>
                      <w:kern w:val="0"/>
                      <w:szCs w:val="21"/>
                      <w:lang w:val="en-US" w:eastAsia="zh-CN" w:bidi="ar"/>
                    </w:rPr>
                    <w:t>沉渣</w:t>
                  </w:r>
                </w:p>
              </w:tc>
              <w:tc>
                <w:tcPr>
                  <w:tcW w:w="1371" w:type="dxa"/>
                  <w:tcBorders>
                    <w:tl2br w:val="nil"/>
                    <w:tr2bl w:val="nil"/>
                  </w:tcBorders>
                  <w:tcMar>
                    <w:top w:w="15" w:type="dxa"/>
                    <w:left w:w="15" w:type="dxa"/>
                    <w:right w:w="15" w:type="dxa"/>
                  </w:tcMar>
                  <w:vAlign w:val="center"/>
                </w:tcPr>
                <w:p>
                  <w:pPr>
                    <w:widowControl/>
                    <w:jc w:val="center"/>
                    <w:textAlignment w:val="center"/>
                    <w:rPr>
                      <w:rFonts w:hint="eastAsia" w:eastAsia="宋体"/>
                      <w:color w:val="FF0000"/>
                      <w:kern w:val="0"/>
                      <w:szCs w:val="21"/>
                      <w:lang w:val="en-US" w:eastAsia="zh-CN" w:bidi="ar"/>
                    </w:rPr>
                  </w:pPr>
                  <w:r>
                    <w:rPr>
                      <w:rFonts w:hint="eastAsia"/>
                      <w:color w:val="FF0000"/>
                      <w:kern w:val="0"/>
                      <w:szCs w:val="21"/>
                      <w:lang w:val="en-US" w:eastAsia="zh-CN" w:bidi="ar"/>
                    </w:rPr>
                    <w:t>铝</w:t>
                  </w:r>
                </w:p>
              </w:tc>
              <w:tc>
                <w:tcPr>
                  <w:tcW w:w="3049" w:type="dxa"/>
                  <w:tcBorders>
                    <w:tl2br w:val="nil"/>
                    <w:tr2bl w:val="nil"/>
                  </w:tcBorders>
                  <w:tcMar>
                    <w:top w:w="15" w:type="dxa"/>
                    <w:left w:w="15" w:type="dxa"/>
                    <w:right w:w="15" w:type="dxa"/>
                  </w:tcMar>
                  <w:vAlign w:val="center"/>
                </w:tcPr>
                <w:p>
                  <w:pPr>
                    <w:jc w:val="center"/>
                    <w:rPr>
                      <w:rFonts w:hint="eastAsia" w:eastAsia="宋体"/>
                      <w:color w:val="FF0000"/>
                      <w:kern w:val="0"/>
                      <w:szCs w:val="21"/>
                      <w:lang w:val="en-US" w:eastAsia="zh-CN" w:bidi="ar"/>
                    </w:rPr>
                  </w:pPr>
                  <w:r>
                    <w:rPr>
                      <w:rFonts w:hint="eastAsia"/>
                      <w:color w:val="FF0000"/>
                      <w:kern w:val="0"/>
                      <w:szCs w:val="21"/>
                      <w:lang w:val="en-US" w:eastAsia="zh-CN" w:bidi="ar"/>
                    </w:rPr>
                    <w:t>外售综合利用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vMerge w:val="continue"/>
                  <w:tcBorders>
                    <w:tl2br w:val="nil"/>
                    <w:tr2bl w:val="nil"/>
                  </w:tcBorders>
                  <w:tcMar>
                    <w:top w:w="15" w:type="dxa"/>
                    <w:left w:w="15" w:type="dxa"/>
                    <w:right w:w="15" w:type="dxa"/>
                  </w:tcMar>
                  <w:vAlign w:val="center"/>
                </w:tcPr>
                <w:p>
                  <w:pPr>
                    <w:jc w:val="center"/>
                    <w:rPr>
                      <w:color w:val="000000" w:themeColor="text1"/>
                      <w:szCs w:val="21"/>
                      <w14:textFill>
                        <w14:solidFill>
                          <w14:schemeClr w14:val="tx1"/>
                        </w14:solidFill>
                      </w14:textFill>
                    </w:rPr>
                  </w:pPr>
                </w:p>
              </w:tc>
              <w:tc>
                <w:tcPr>
                  <w:tcW w:w="956" w:type="dxa"/>
                  <w:tcBorders>
                    <w:tl2br w:val="nil"/>
                    <w:tr2bl w:val="nil"/>
                  </w:tcBorders>
                  <w:tcMar>
                    <w:top w:w="15" w:type="dxa"/>
                    <w:left w:w="15" w:type="dxa"/>
                    <w:right w:w="15" w:type="dxa"/>
                  </w:tcMar>
                  <w:vAlign w:val="center"/>
                </w:tcPr>
                <w:p>
                  <w:pPr>
                    <w:widowControl/>
                    <w:jc w:val="center"/>
                    <w:textAlignment w:val="center"/>
                    <w:rPr>
                      <w:color w:val="FF0000"/>
                      <w:szCs w:val="21"/>
                    </w:rPr>
                  </w:pPr>
                  <w:r>
                    <w:rPr>
                      <w:rFonts w:hint="eastAsia"/>
                      <w:color w:val="FF0000"/>
                      <w:szCs w:val="21"/>
                    </w:rPr>
                    <w:t>S</w:t>
                  </w:r>
                  <w:r>
                    <w:rPr>
                      <w:rFonts w:hint="eastAsia"/>
                      <w:color w:val="FF0000"/>
                      <w:szCs w:val="21"/>
                      <w:lang w:val="en-US" w:eastAsia="zh-CN"/>
                    </w:rPr>
                    <w:t>10</w:t>
                  </w:r>
                </w:p>
              </w:tc>
              <w:tc>
                <w:tcPr>
                  <w:tcW w:w="1001" w:type="dxa"/>
                  <w:tcBorders>
                    <w:tl2br w:val="nil"/>
                    <w:tr2bl w:val="nil"/>
                  </w:tcBorders>
                  <w:tcMar>
                    <w:top w:w="15" w:type="dxa"/>
                    <w:left w:w="15" w:type="dxa"/>
                    <w:right w:w="15" w:type="dxa"/>
                  </w:tcMar>
                  <w:vAlign w:val="center"/>
                </w:tcPr>
                <w:p>
                  <w:pPr>
                    <w:widowControl/>
                    <w:jc w:val="center"/>
                    <w:textAlignment w:val="center"/>
                    <w:rPr>
                      <w:color w:val="FF0000"/>
                      <w:kern w:val="0"/>
                      <w:szCs w:val="21"/>
                      <w:lang w:bidi="ar"/>
                    </w:rPr>
                  </w:pPr>
                  <w:r>
                    <w:rPr>
                      <w:color w:val="FF0000"/>
                      <w:kern w:val="0"/>
                      <w:szCs w:val="21"/>
                      <w:lang w:bidi="ar"/>
                    </w:rPr>
                    <w:t>生活办公</w:t>
                  </w:r>
                </w:p>
              </w:tc>
              <w:tc>
                <w:tcPr>
                  <w:tcW w:w="1106" w:type="dxa"/>
                  <w:tcBorders>
                    <w:tl2br w:val="nil"/>
                    <w:tr2bl w:val="nil"/>
                  </w:tcBorders>
                  <w:tcMar>
                    <w:top w:w="15" w:type="dxa"/>
                    <w:left w:w="15" w:type="dxa"/>
                    <w:right w:w="15" w:type="dxa"/>
                  </w:tcMar>
                  <w:vAlign w:val="center"/>
                </w:tcPr>
                <w:p>
                  <w:pPr>
                    <w:widowControl/>
                    <w:jc w:val="center"/>
                    <w:textAlignment w:val="center"/>
                    <w:rPr>
                      <w:color w:val="FF0000"/>
                      <w:kern w:val="0"/>
                      <w:szCs w:val="21"/>
                      <w:lang w:bidi="ar"/>
                    </w:rPr>
                  </w:pPr>
                  <w:r>
                    <w:rPr>
                      <w:color w:val="FF0000"/>
                      <w:kern w:val="0"/>
                      <w:szCs w:val="21"/>
                      <w:lang w:bidi="ar"/>
                    </w:rPr>
                    <w:t>生活垃圾</w:t>
                  </w:r>
                </w:p>
              </w:tc>
              <w:tc>
                <w:tcPr>
                  <w:tcW w:w="1371" w:type="dxa"/>
                  <w:tcBorders>
                    <w:tl2br w:val="nil"/>
                    <w:tr2bl w:val="nil"/>
                  </w:tcBorders>
                  <w:tcMar>
                    <w:top w:w="15" w:type="dxa"/>
                    <w:left w:w="15" w:type="dxa"/>
                    <w:right w:w="15" w:type="dxa"/>
                  </w:tcMar>
                  <w:vAlign w:val="center"/>
                </w:tcPr>
                <w:p>
                  <w:pPr>
                    <w:widowControl/>
                    <w:jc w:val="center"/>
                    <w:textAlignment w:val="center"/>
                    <w:rPr>
                      <w:color w:val="FF0000"/>
                      <w:kern w:val="0"/>
                      <w:szCs w:val="21"/>
                      <w:lang w:bidi="ar"/>
                    </w:rPr>
                  </w:pPr>
                  <w:r>
                    <w:rPr>
                      <w:color w:val="FF0000"/>
                      <w:kern w:val="0"/>
                      <w:szCs w:val="21"/>
                      <w:lang w:bidi="ar"/>
                    </w:rPr>
                    <w:t>生活垃圾</w:t>
                  </w:r>
                </w:p>
              </w:tc>
              <w:tc>
                <w:tcPr>
                  <w:tcW w:w="3049" w:type="dxa"/>
                  <w:tcBorders>
                    <w:tl2br w:val="nil"/>
                    <w:tr2bl w:val="nil"/>
                  </w:tcBorders>
                  <w:tcMar>
                    <w:top w:w="15" w:type="dxa"/>
                    <w:left w:w="15" w:type="dxa"/>
                    <w:right w:w="15" w:type="dxa"/>
                  </w:tcMar>
                  <w:vAlign w:val="center"/>
                </w:tcPr>
                <w:p>
                  <w:pPr>
                    <w:widowControl/>
                    <w:jc w:val="center"/>
                    <w:textAlignment w:val="center"/>
                    <w:rPr>
                      <w:color w:val="FF0000"/>
                      <w:kern w:val="0"/>
                      <w:szCs w:val="21"/>
                      <w:lang w:bidi="ar"/>
                    </w:rPr>
                  </w:pPr>
                  <w:r>
                    <w:rPr>
                      <w:color w:val="FF0000"/>
                      <w:kern w:val="0"/>
                      <w:szCs w:val="21"/>
                      <w:lang w:bidi="ar"/>
                    </w:rPr>
                    <w:t>环卫处理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2"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噪声</w:t>
                  </w:r>
                </w:p>
              </w:tc>
              <w:tc>
                <w:tcPr>
                  <w:tcW w:w="95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N</w:t>
                  </w:r>
                </w:p>
              </w:tc>
              <w:tc>
                <w:tcPr>
                  <w:tcW w:w="100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w:t>
                  </w:r>
                </w:p>
              </w:tc>
              <w:tc>
                <w:tcPr>
                  <w:tcW w:w="1106"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机械噪声</w:t>
                  </w:r>
                </w:p>
              </w:tc>
              <w:tc>
                <w:tcPr>
                  <w:tcW w:w="1371"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Leq(A)</w:t>
                  </w:r>
                </w:p>
              </w:tc>
              <w:tc>
                <w:tcPr>
                  <w:tcW w:w="3049" w:type="dxa"/>
                  <w:tcBorders>
                    <w:tl2br w:val="nil"/>
                    <w:tr2bl w:val="nil"/>
                  </w:tcBorders>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选用低噪声设备，采取基础减振、厂房隔声</w:t>
                  </w:r>
                </w:p>
              </w:tc>
            </w:tr>
          </w:tbl>
          <w:p>
            <w:pPr>
              <w:spacing w:line="360" w:lineRule="auto"/>
              <w:ind w:firstLine="480" w:firstLineChars="200"/>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49" w:hRule="atLeast"/>
          <w:jc w:val="center"/>
        </w:trPr>
        <w:tc>
          <w:tcPr>
            <w:tcW w:w="452" w:type="dxa"/>
            <w:vAlign w:val="center"/>
          </w:tcPr>
          <w:p>
            <w:pPr>
              <w:pStyle w:val="29"/>
              <w:adjustRightInd w:val="0"/>
              <w:snapToGrid w:val="0"/>
              <w:spacing w:before="0" w:beforeAutospacing="0" w:after="0" w:afterAutospacing="0"/>
              <w:jc w:val="center"/>
              <w:rPr>
                <w:rFonts w:hint="eastAsia" w:cs="宋体"/>
                <w:szCs w:val="24"/>
              </w:rPr>
            </w:pPr>
            <w:r>
              <w:rPr>
                <w:rFonts w:hint="eastAsia" w:cs="宋体"/>
                <w:bCs/>
                <w:kern w:val="2"/>
                <w:sz w:val="21"/>
                <w:szCs w:val="21"/>
              </w:rPr>
              <w:t>与项目有关的原有环境污染问题</w:t>
            </w:r>
          </w:p>
        </w:tc>
        <w:tc>
          <w:tcPr>
            <w:tcW w:w="8608" w:type="dxa"/>
            <w:vAlign w:val="center"/>
          </w:tcPr>
          <w:p>
            <w:pPr>
              <w:spacing w:line="360" w:lineRule="auto"/>
              <w:jc w:val="center"/>
              <w:rPr>
                <w:sz w:val="24"/>
              </w:rPr>
            </w:pPr>
            <w:r>
              <w:rPr>
                <w:sz w:val="24"/>
              </w:rPr>
              <w:t>本项目为新建项目，项目选址原为</w:t>
            </w:r>
            <w:r>
              <w:rPr>
                <w:rFonts w:hint="eastAsia"/>
                <w:sz w:val="24"/>
              </w:rPr>
              <w:t>贺安特传动科技有限公司</w:t>
            </w:r>
            <w:r>
              <w:rPr>
                <w:sz w:val="24"/>
              </w:rPr>
              <w:t>，未从事过生产活动，无原有污染遗留情况。</w:t>
            </w:r>
          </w:p>
        </w:tc>
      </w:tr>
    </w:tbl>
    <w:p>
      <w:pPr>
        <w:pStyle w:val="29"/>
        <w:jc w:val="center"/>
        <w:rPr>
          <w:rFonts w:ascii="黑体" w:hAnsi="黑体" w:eastAsia="黑体"/>
          <w:snapToGrid w:val="0"/>
          <w:sz w:val="36"/>
          <w:szCs w:val="36"/>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29"/>
        <w:adjustRightInd w:val="0"/>
        <w:snapToGrid w:val="0"/>
        <w:spacing w:before="0" w:beforeAutospacing="0" w:after="0" w:afterAutospacing="0"/>
        <w:outlineLvl w:val="0"/>
        <w:rPr>
          <w:rFonts w:ascii="黑体" w:hAnsi="黑体" w:eastAsia="黑体"/>
          <w:snapToGrid w:val="0"/>
          <w:sz w:val="30"/>
          <w:szCs w:val="30"/>
        </w:rPr>
      </w:pPr>
      <w:r>
        <w:rPr>
          <w:rFonts w:hint="eastAsia" w:ascii="黑体" w:hAnsi="黑体" w:eastAsia="黑体"/>
          <w:snapToGrid w:val="0"/>
          <w:sz w:val="30"/>
          <w:szCs w:val="30"/>
        </w:rPr>
        <w:t>三、区域环境质量现状、环境保护目标及评价标准</w:t>
      </w:r>
    </w:p>
    <w:tbl>
      <w:tblPr>
        <w:tblStyle w:val="3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4"/>
        <w:gridCol w:w="860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8" w:hRule="atLeast"/>
          <w:jc w:val="center"/>
        </w:trPr>
        <w:tc>
          <w:tcPr>
            <w:tcW w:w="454" w:type="dxa"/>
            <w:vAlign w:val="center"/>
          </w:tcPr>
          <w:p>
            <w:pPr>
              <w:adjustRightInd w:val="0"/>
              <w:snapToGrid w:val="0"/>
              <w:jc w:val="center"/>
              <w:rPr>
                <w:rFonts w:ascii="宋体" w:hAnsi="宋体" w:cs="宋体"/>
                <w:kern w:val="0"/>
                <w:szCs w:val="21"/>
              </w:rPr>
            </w:pPr>
            <w:r>
              <w:rPr>
                <w:rFonts w:hint="eastAsia" w:ascii="宋体" w:hAnsi="宋体" w:cs="宋体"/>
                <w:kern w:val="0"/>
                <w:szCs w:val="21"/>
              </w:rPr>
              <w:t>区域</w:t>
            </w:r>
          </w:p>
          <w:p>
            <w:pPr>
              <w:adjustRightInd w:val="0"/>
              <w:snapToGrid w:val="0"/>
              <w:jc w:val="center"/>
              <w:rPr>
                <w:rFonts w:ascii="宋体" w:hAnsi="宋体" w:cs="宋体"/>
                <w:kern w:val="0"/>
                <w:szCs w:val="21"/>
              </w:rPr>
            </w:pPr>
            <w:r>
              <w:rPr>
                <w:rFonts w:hint="eastAsia" w:ascii="宋体" w:hAnsi="宋体" w:cs="宋体"/>
                <w:kern w:val="0"/>
                <w:szCs w:val="21"/>
              </w:rPr>
              <w:t>环境</w:t>
            </w:r>
          </w:p>
          <w:p>
            <w:pPr>
              <w:adjustRightInd w:val="0"/>
              <w:snapToGrid w:val="0"/>
              <w:jc w:val="center"/>
              <w:rPr>
                <w:rFonts w:ascii="宋体" w:hAnsi="宋体" w:cs="宋体"/>
                <w:kern w:val="0"/>
                <w:szCs w:val="21"/>
              </w:rPr>
            </w:pPr>
            <w:r>
              <w:rPr>
                <w:rFonts w:hint="eastAsia" w:ascii="宋体" w:hAnsi="宋体" w:cs="宋体"/>
                <w:kern w:val="0"/>
                <w:szCs w:val="21"/>
              </w:rPr>
              <w:t>质量</w:t>
            </w:r>
          </w:p>
          <w:p>
            <w:pPr>
              <w:adjustRightInd w:val="0"/>
              <w:snapToGrid w:val="0"/>
              <w:jc w:val="center"/>
              <w:rPr>
                <w:rFonts w:ascii="宋体" w:hAnsi="宋体" w:cs="宋体"/>
                <w:kern w:val="0"/>
                <w:sz w:val="24"/>
              </w:rPr>
            </w:pPr>
            <w:r>
              <w:rPr>
                <w:rFonts w:hint="eastAsia" w:ascii="宋体" w:hAnsi="宋体" w:cs="宋体"/>
                <w:kern w:val="0"/>
                <w:szCs w:val="21"/>
              </w:rPr>
              <w:t>现状</w:t>
            </w:r>
          </w:p>
        </w:tc>
        <w:tc>
          <w:tcPr>
            <w:tcW w:w="8607" w:type="dxa"/>
            <w:vAlign w:val="center"/>
          </w:tcPr>
          <w:p>
            <w:pPr>
              <w:widowControl/>
              <w:adjustRightInd w:val="0"/>
              <w:snapToGrid w:val="0"/>
              <w:spacing w:line="500" w:lineRule="exact"/>
              <w:ind w:firstLine="482" w:firstLineChars="200"/>
              <w:jc w:val="left"/>
              <w:rPr>
                <w:b/>
                <w:kern w:val="0"/>
                <w:sz w:val="24"/>
              </w:rPr>
            </w:pPr>
            <w:r>
              <w:rPr>
                <w:b/>
                <w:kern w:val="0"/>
                <w:sz w:val="24"/>
              </w:rPr>
              <w:t>一、区域环境质量现状</w:t>
            </w:r>
          </w:p>
          <w:p>
            <w:pPr>
              <w:widowControl/>
              <w:adjustRightInd w:val="0"/>
              <w:snapToGrid w:val="0"/>
              <w:spacing w:line="500" w:lineRule="exact"/>
              <w:ind w:firstLine="482" w:firstLineChars="200"/>
              <w:jc w:val="left"/>
              <w:rPr>
                <w:b/>
                <w:kern w:val="0"/>
                <w:sz w:val="24"/>
              </w:rPr>
            </w:pPr>
            <w:r>
              <w:rPr>
                <w:b/>
                <w:kern w:val="0"/>
                <w:sz w:val="24"/>
              </w:rPr>
              <w:t>1</w:t>
            </w:r>
            <w:r>
              <w:rPr>
                <w:rFonts w:hint="eastAsia"/>
                <w:b/>
                <w:kern w:val="0"/>
                <w:sz w:val="24"/>
              </w:rPr>
              <w:t>、</w:t>
            </w:r>
            <w:r>
              <w:rPr>
                <w:b/>
                <w:kern w:val="0"/>
                <w:sz w:val="24"/>
              </w:rPr>
              <w:t>大气环境质量现状</w:t>
            </w:r>
          </w:p>
          <w:p>
            <w:pPr>
              <w:pStyle w:val="16"/>
              <w:keepNext w:val="0"/>
              <w:keepLines w:val="0"/>
              <w:pageBreakBefore w:val="0"/>
              <w:widowControl/>
              <w:kinsoku/>
              <w:wordWrap/>
              <w:overflowPunct/>
              <w:topLinePunct w:val="0"/>
              <w:autoSpaceDE/>
              <w:autoSpaceDN/>
              <w:bidi w:val="0"/>
              <w:adjustRightInd/>
              <w:snapToGrid w:val="0"/>
              <w:spacing w:before="0" w:after="0" w:line="500" w:lineRule="exact"/>
              <w:ind w:right="0" w:firstLine="480" w:firstLineChars="200"/>
              <w:textAlignment w:val="auto"/>
              <w:rPr>
                <w:sz w:val="24"/>
                <w:szCs w:val="24"/>
              </w:rPr>
            </w:pPr>
            <w:r>
              <w:rPr>
                <w:rFonts w:hint="eastAsia"/>
                <w:sz w:val="24"/>
                <w:szCs w:val="24"/>
              </w:rPr>
              <w:t>（1）</w:t>
            </w:r>
            <w:r>
              <w:rPr>
                <w:sz w:val="24"/>
                <w:szCs w:val="24"/>
              </w:rPr>
              <w:t>项目所在区域环境空气中常规污染物数据来源于《202</w:t>
            </w:r>
            <w:r>
              <w:rPr>
                <w:rFonts w:hint="eastAsia"/>
                <w:sz w:val="24"/>
                <w:szCs w:val="24"/>
              </w:rPr>
              <w:t>2</w:t>
            </w:r>
            <w:r>
              <w:rPr>
                <w:sz w:val="24"/>
                <w:szCs w:val="24"/>
              </w:rPr>
              <w:t>年泰州市环境状况公报》，医药高新区（高港区）具体达标情况见表3-1。</w:t>
            </w:r>
          </w:p>
          <w:p>
            <w:pPr>
              <w:keepNext w:val="0"/>
              <w:keepLines w:val="0"/>
              <w:pageBreakBefore w:val="0"/>
              <w:widowControl/>
              <w:kinsoku/>
              <w:wordWrap/>
              <w:overflowPunct/>
              <w:topLinePunct w:val="0"/>
              <w:autoSpaceDE/>
              <w:autoSpaceDN/>
              <w:bidi w:val="0"/>
              <w:adjustRightInd/>
              <w:snapToGrid/>
              <w:spacing w:before="157" w:beforeLines="50" w:after="157" w:afterLines="50"/>
              <w:jc w:val="center"/>
              <w:textAlignment w:val="auto"/>
              <w:rPr>
                <w:color w:val="000000"/>
                <w:kern w:val="0"/>
                <w:szCs w:val="21"/>
                <w:lang w:bidi="ar"/>
              </w:rPr>
            </w:pPr>
            <w:r>
              <w:rPr>
                <w:b/>
                <w:bCs/>
                <w:color w:val="000000"/>
                <w:kern w:val="0"/>
                <w:szCs w:val="21"/>
                <w:lang w:bidi="ar"/>
              </w:rPr>
              <w:t>表3-1区域环境空气现状评价表</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0"/>
              <w:gridCol w:w="1390"/>
              <w:gridCol w:w="1800"/>
              <w:gridCol w:w="938"/>
              <w:gridCol w:w="1087"/>
              <w:gridCol w:w="912"/>
              <w:gridCol w:w="970"/>
              <w:gridCol w:w="84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widowControl/>
                    <w:adjustRightInd w:val="0"/>
                    <w:snapToGrid w:val="0"/>
                    <w:jc w:val="center"/>
                    <w:rPr>
                      <w:b/>
                      <w:bCs/>
                      <w:szCs w:val="21"/>
                    </w:rPr>
                  </w:pPr>
                  <w:r>
                    <w:rPr>
                      <w:b/>
                      <w:bCs/>
                      <w:color w:val="000000"/>
                      <w:kern w:val="0"/>
                      <w:szCs w:val="21"/>
                      <w:lang w:bidi="ar"/>
                    </w:rPr>
                    <w:t>序号</w:t>
                  </w:r>
                </w:p>
              </w:tc>
              <w:tc>
                <w:tcPr>
                  <w:tcW w:w="1390" w:type="dxa"/>
                  <w:tcBorders>
                    <w:tl2br w:val="nil"/>
                    <w:tr2bl w:val="nil"/>
                  </w:tcBorders>
                  <w:vAlign w:val="center"/>
                </w:tcPr>
                <w:p>
                  <w:pPr>
                    <w:widowControl/>
                    <w:adjustRightInd w:val="0"/>
                    <w:snapToGrid w:val="0"/>
                    <w:jc w:val="center"/>
                    <w:rPr>
                      <w:b/>
                      <w:bCs/>
                      <w:szCs w:val="21"/>
                    </w:rPr>
                  </w:pPr>
                  <w:r>
                    <w:rPr>
                      <w:b/>
                      <w:bCs/>
                      <w:color w:val="000000"/>
                      <w:kern w:val="0"/>
                      <w:szCs w:val="21"/>
                      <w:lang w:bidi="ar"/>
                    </w:rPr>
                    <w:t>污染物</w:t>
                  </w:r>
                </w:p>
              </w:tc>
              <w:tc>
                <w:tcPr>
                  <w:tcW w:w="1800" w:type="dxa"/>
                  <w:tcBorders>
                    <w:tl2br w:val="nil"/>
                    <w:tr2bl w:val="nil"/>
                  </w:tcBorders>
                  <w:vAlign w:val="center"/>
                </w:tcPr>
                <w:p>
                  <w:pPr>
                    <w:widowControl/>
                    <w:adjustRightInd w:val="0"/>
                    <w:snapToGrid w:val="0"/>
                    <w:jc w:val="center"/>
                    <w:rPr>
                      <w:b/>
                      <w:bCs/>
                      <w:szCs w:val="21"/>
                    </w:rPr>
                  </w:pPr>
                  <w:r>
                    <w:rPr>
                      <w:b/>
                      <w:bCs/>
                      <w:color w:val="000000"/>
                      <w:kern w:val="0"/>
                      <w:szCs w:val="21"/>
                      <w:lang w:bidi="ar"/>
                    </w:rPr>
                    <w:t>年评价指标</w:t>
                  </w:r>
                </w:p>
              </w:tc>
              <w:tc>
                <w:tcPr>
                  <w:tcW w:w="938" w:type="dxa"/>
                  <w:tcBorders>
                    <w:tl2br w:val="nil"/>
                    <w:tr2bl w:val="nil"/>
                  </w:tcBorders>
                  <w:vAlign w:val="center"/>
                </w:tcPr>
                <w:p>
                  <w:pPr>
                    <w:widowControl/>
                    <w:adjustRightInd w:val="0"/>
                    <w:snapToGrid w:val="0"/>
                    <w:jc w:val="center"/>
                    <w:rPr>
                      <w:b/>
                      <w:bCs/>
                      <w:szCs w:val="21"/>
                    </w:rPr>
                  </w:pPr>
                  <w:r>
                    <w:rPr>
                      <w:b/>
                      <w:bCs/>
                      <w:color w:val="000000"/>
                      <w:kern w:val="0"/>
                      <w:szCs w:val="21"/>
                      <w:lang w:bidi="ar"/>
                    </w:rPr>
                    <w:t>单位</w:t>
                  </w:r>
                </w:p>
              </w:tc>
              <w:tc>
                <w:tcPr>
                  <w:tcW w:w="1087" w:type="dxa"/>
                  <w:tcBorders>
                    <w:tl2br w:val="nil"/>
                    <w:tr2bl w:val="nil"/>
                  </w:tcBorders>
                  <w:vAlign w:val="center"/>
                </w:tcPr>
                <w:p>
                  <w:pPr>
                    <w:widowControl/>
                    <w:adjustRightInd w:val="0"/>
                    <w:snapToGrid w:val="0"/>
                    <w:jc w:val="center"/>
                    <w:rPr>
                      <w:b/>
                      <w:bCs/>
                      <w:szCs w:val="21"/>
                    </w:rPr>
                  </w:pPr>
                  <w:r>
                    <w:rPr>
                      <w:b/>
                      <w:bCs/>
                      <w:color w:val="000000"/>
                      <w:kern w:val="0"/>
                      <w:szCs w:val="21"/>
                      <w:lang w:bidi="ar"/>
                    </w:rPr>
                    <w:t>现状浓度</w:t>
                  </w:r>
                </w:p>
              </w:tc>
              <w:tc>
                <w:tcPr>
                  <w:tcW w:w="912" w:type="dxa"/>
                  <w:tcBorders>
                    <w:tl2br w:val="nil"/>
                    <w:tr2bl w:val="nil"/>
                  </w:tcBorders>
                  <w:vAlign w:val="center"/>
                </w:tcPr>
                <w:p>
                  <w:pPr>
                    <w:widowControl/>
                    <w:adjustRightInd w:val="0"/>
                    <w:snapToGrid w:val="0"/>
                    <w:jc w:val="center"/>
                    <w:rPr>
                      <w:b/>
                      <w:bCs/>
                      <w:szCs w:val="21"/>
                    </w:rPr>
                  </w:pPr>
                  <w:r>
                    <w:rPr>
                      <w:b/>
                      <w:bCs/>
                      <w:color w:val="000000"/>
                      <w:kern w:val="0"/>
                      <w:szCs w:val="21"/>
                      <w:lang w:bidi="ar"/>
                    </w:rPr>
                    <w:t>标准值</w:t>
                  </w:r>
                </w:p>
              </w:tc>
              <w:tc>
                <w:tcPr>
                  <w:tcW w:w="969" w:type="dxa"/>
                  <w:tcBorders>
                    <w:tl2br w:val="nil"/>
                    <w:tr2bl w:val="nil"/>
                  </w:tcBorders>
                  <w:vAlign w:val="center"/>
                </w:tcPr>
                <w:p>
                  <w:pPr>
                    <w:widowControl/>
                    <w:adjustRightInd w:val="0"/>
                    <w:snapToGrid w:val="0"/>
                    <w:jc w:val="center"/>
                    <w:rPr>
                      <w:b/>
                      <w:bCs/>
                      <w:szCs w:val="21"/>
                    </w:rPr>
                  </w:pPr>
                  <w:r>
                    <w:rPr>
                      <w:b/>
                      <w:bCs/>
                      <w:color w:val="000000"/>
                      <w:kern w:val="0"/>
                      <w:szCs w:val="21"/>
                      <w:lang w:bidi="ar"/>
                    </w:rPr>
                    <w:t>占标率（%）</w:t>
                  </w:r>
                </w:p>
              </w:tc>
              <w:tc>
                <w:tcPr>
                  <w:tcW w:w="843" w:type="dxa"/>
                  <w:tcBorders>
                    <w:tl2br w:val="nil"/>
                    <w:tr2bl w:val="nil"/>
                  </w:tcBorders>
                  <w:vAlign w:val="center"/>
                </w:tcPr>
                <w:p>
                  <w:pPr>
                    <w:widowControl/>
                    <w:adjustRightInd w:val="0"/>
                    <w:snapToGrid w:val="0"/>
                    <w:jc w:val="center"/>
                    <w:rPr>
                      <w:b/>
                      <w:bCs/>
                      <w:szCs w:val="21"/>
                    </w:rPr>
                  </w:pPr>
                  <w:r>
                    <w:rPr>
                      <w:b/>
                      <w:bCs/>
                      <w:color w:val="000000"/>
                      <w:kern w:val="0"/>
                      <w:szCs w:val="21"/>
                      <w:lang w:bidi="ar"/>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jc w:val="center"/>
                    <w:rPr>
                      <w:szCs w:val="21"/>
                    </w:rPr>
                  </w:pPr>
                  <w:r>
                    <w:rPr>
                      <w:szCs w:val="21"/>
                    </w:rPr>
                    <w:t>1</w:t>
                  </w:r>
                </w:p>
              </w:tc>
              <w:tc>
                <w:tcPr>
                  <w:tcW w:w="1390" w:type="dxa"/>
                  <w:tcBorders>
                    <w:tl2br w:val="nil"/>
                    <w:tr2bl w:val="nil"/>
                  </w:tcBorders>
                  <w:vAlign w:val="center"/>
                </w:tcPr>
                <w:p>
                  <w:pPr>
                    <w:widowControl/>
                    <w:adjustRightInd w:val="0"/>
                    <w:snapToGrid w:val="0"/>
                    <w:jc w:val="center"/>
                    <w:rPr>
                      <w:szCs w:val="21"/>
                    </w:rPr>
                  </w:pPr>
                  <w:r>
                    <w:rPr>
                      <w:color w:val="000000"/>
                      <w:kern w:val="0"/>
                      <w:szCs w:val="21"/>
                      <w:lang w:bidi="ar"/>
                    </w:rPr>
                    <w:t>二氧化硫（SO</w:t>
                  </w:r>
                  <w:r>
                    <w:rPr>
                      <w:color w:val="000000"/>
                      <w:kern w:val="0"/>
                      <w:szCs w:val="21"/>
                      <w:vertAlign w:val="subscript"/>
                      <w:lang w:bidi="ar"/>
                    </w:rPr>
                    <w:t>2</w:t>
                  </w:r>
                  <w:r>
                    <w:rPr>
                      <w:color w:val="000000"/>
                      <w:kern w:val="0"/>
                      <w:szCs w:val="21"/>
                      <w:lang w:bidi="ar"/>
                    </w:rPr>
                    <w:t>）</w:t>
                  </w:r>
                </w:p>
              </w:tc>
              <w:tc>
                <w:tcPr>
                  <w:tcW w:w="1800" w:type="dxa"/>
                  <w:tcBorders>
                    <w:tl2br w:val="nil"/>
                    <w:tr2bl w:val="nil"/>
                  </w:tcBorders>
                  <w:vAlign w:val="center"/>
                </w:tcPr>
                <w:p>
                  <w:pPr>
                    <w:widowControl/>
                    <w:adjustRightInd w:val="0"/>
                    <w:snapToGrid w:val="0"/>
                    <w:jc w:val="center"/>
                    <w:rPr>
                      <w:szCs w:val="21"/>
                    </w:rPr>
                  </w:pPr>
                  <w:r>
                    <w:rPr>
                      <w:color w:val="000000"/>
                      <w:kern w:val="0"/>
                      <w:szCs w:val="21"/>
                      <w:lang w:bidi="ar"/>
                    </w:rPr>
                    <w:t>年平均质量浓度</w:t>
                  </w:r>
                </w:p>
              </w:tc>
              <w:tc>
                <w:tcPr>
                  <w:tcW w:w="938" w:type="dxa"/>
                  <w:tcBorders>
                    <w:tl2br w:val="nil"/>
                    <w:tr2bl w:val="nil"/>
                  </w:tcBorders>
                  <w:vAlign w:val="center"/>
                </w:tcPr>
                <w:p>
                  <w:pPr>
                    <w:widowControl/>
                    <w:adjustRightInd w:val="0"/>
                    <w:snapToGrid w:val="0"/>
                    <w:jc w:val="center"/>
                    <w:rPr>
                      <w:szCs w:val="21"/>
                    </w:rPr>
                  </w:pPr>
                  <w:r>
                    <w:rPr>
                      <w:color w:val="000000"/>
                      <w:kern w:val="0"/>
                      <w:szCs w:val="21"/>
                      <w:lang w:bidi="ar"/>
                    </w:rPr>
                    <w:t>μg/m</w:t>
                  </w:r>
                  <w:r>
                    <w:rPr>
                      <w:color w:val="000000"/>
                      <w:kern w:val="0"/>
                      <w:szCs w:val="21"/>
                      <w:vertAlign w:val="superscript"/>
                      <w:lang w:bidi="ar"/>
                    </w:rPr>
                    <w:t>3</w:t>
                  </w:r>
                </w:p>
              </w:tc>
              <w:tc>
                <w:tcPr>
                  <w:tcW w:w="1087" w:type="dxa"/>
                  <w:tcBorders>
                    <w:tl2br w:val="nil"/>
                    <w:tr2bl w:val="nil"/>
                  </w:tcBorders>
                  <w:vAlign w:val="center"/>
                </w:tcPr>
                <w:p>
                  <w:pPr>
                    <w:adjustRightInd w:val="0"/>
                    <w:snapToGrid w:val="0"/>
                    <w:jc w:val="center"/>
                    <w:rPr>
                      <w:szCs w:val="21"/>
                    </w:rPr>
                  </w:pPr>
                  <w:r>
                    <w:rPr>
                      <w:szCs w:val="21"/>
                    </w:rPr>
                    <w:t>8</w:t>
                  </w:r>
                </w:p>
              </w:tc>
              <w:tc>
                <w:tcPr>
                  <w:tcW w:w="912" w:type="dxa"/>
                  <w:tcBorders>
                    <w:tl2br w:val="nil"/>
                    <w:tr2bl w:val="nil"/>
                  </w:tcBorders>
                  <w:vAlign w:val="center"/>
                </w:tcPr>
                <w:p>
                  <w:pPr>
                    <w:adjustRightInd w:val="0"/>
                    <w:snapToGrid w:val="0"/>
                    <w:jc w:val="center"/>
                    <w:rPr>
                      <w:szCs w:val="21"/>
                    </w:rPr>
                  </w:pPr>
                  <w:r>
                    <w:rPr>
                      <w:szCs w:val="21"/>
                    </w:rPr>
                    <w:t>60</w:t>
                  </w:r>
                </w:p>
              </w:tc>
              <w:tc>
                <w:tcPr>
                  <w:tcW w:w="969" w:type="dxa"/>
                  <w:tcBorders>
                    <w:tl2br w:val="nil"/>
                    <w:tr2bl w:val="nil"/>
                  </w:tcBorders>
                  <w:vAlign w:val="center"/>
                </w:tcPr>
                <w:p>
                  <w:pPr>
                    <w:adjustRightInd w:val="0"/>
                    <w:snapToGrid w:val="0"/>
                    <w:jc w:val="center"/>
                    <w:rPr>
                      <w:szCs w:val="21"/>
                    </w:rPr>
                  </w:pPr>
                  <w:r>
                    <w:rPr>
                      <w:szCs w:val="21"/>
                    </w:rPr>
                    <w:t>13.3</w:t>
                  </w:r>
                </w:p>
              </w:tc>
              <w:tc>
                <w:tcPr>
                  <w:tcW w:w="843" w:type="dxa"/>
                  <w:tcBorders>
                    <w:tl2br w:val="nil"/>
                    <w:tr2bl w:val="nil"/>
                  </w:tcBorders>
                  <w:vAlign w:val="center"/>
                </w:tcPr>
                <w:p>
                  <w:pPr>
                    <w:adjustRightInd w:val="0"/>
                    <w:snapToGrid w:val="0"/>
                    <w:jc w:val="center"/>
                    <w:rPr>
                      <w:szCs w:val="21"/>
                    </w:rPr>
                  </w:pPr>
                  <w:r>
                    <w:rPr>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jc w:val="center"/>
                    <w:rPr>
                      <w:szCs w:val="21"/>
                    </w:rPr>
                  </w:pPr>
                  <w:r>
                    <w:rPr>
                      <w:szCs w:val="21"/>
                    </w:rPr>
                    <w:t>2</w:t>
                  </w:r>
                </w:p>
              </w:tc>
              <w:tc>
                <w:tcPr>
                  <w:tcW w:w="1390" w:type="dxa"/>
                  <w:tcBorders>
                    <w:tl2br w:val="nil"/>
                    <w:tr2bl w:val="nil"/>
                  </w:tcBorders>
                  <w:vAlign w:val="center"/>
                </w:tcPr>
                <w:p>
                  <w:pPr>
                    <w:widowControl/>
                    <w:adjustRightInd w:val="0"/>
                    <w:snapToGrid w:val="0"/>
                    <w:jc w:val="center"/>
                    <w:rPr>
                      <w:szCs w:val="21"/>
                    </w:rPr>
                  </w:pPr>
                  <w:r>
                    <w:rPr>
                      <w:color w:val="000000"/>
                      <w:kern w:val="0"/>
                      <w:szCs w:val="21"/>
                      <w:lang w:bidi="ar"/>
                    </w:rPr>
                    <w:t>二氧化氮（NO</w:t>
                  </w:r>
                  <w:r>
                    <w:rPr>
                      <w:color w:val="000000"/>
                      <w:kern w:val="0"/>
                      <w:szCs w:val="21"/>
                      <w:vertAlign w:val="subscript"/>
                      <w:lang w:bidi="ar"/>
                    </w:rPr>
                    <w:t>2</w:t>
                  </w:r>
                  <w:r>
                    <w:rPr>
                      <w:color w:val="000000"/>
                      <w:kern w:val="0"/>
                      <w:szCs w:val="21"/>
                      <w:lang w:bidi="ar"/>
                    </w:rPr>
                    <w:t>）</w:t>
                  </w:r>
                </w:p>
              </w:tc>
              <w:tc>
                <w:tcPr>
                  <w:tcW w:w="1800" w:type="dxa"/>
                  <w:tcBorders>
                    <w:tl2br w:val="nil"/>
                    <w:tr2bl w:val="nil"/>
                  </w:tcBorders>
                  <w:vAlign w:val="center"/>
                </w:tcPr>
                <w:p>
                  <w:pPr>
                    <w:widowControl/>
                    <w:adjustRightInd w:val="0"/>
                    <w:snapToGrid w:val="0"/>
                    <w:jc w:val="center"/>
                    <w:rPr>
                      <w:szCs w:val="21"/>
                    </w:rPr>
                  </w:pPr>
                  <w:r>
                    <w:rPr>
                      <w:color w:val="000000"/>
                      <w:kern w:val="0"/>
                      <w:szCs w:val="21"/>
                      <w:lang w:bidi="ar"/>
                    </w:rPr>
                    <w:t>年平均质量浓度</w:t>
                  </w:r>
                </w:p>
              </w:tc>
              <w:tc>
                <w:tcPr>
                  <w:tcW w:w="938" w:type="dxa"/>
                  <w:tcBorders>
                    <w:tl2br w:val="nil"/>
                    <w:tr2bl w:val="nil"/>
                  </w:tcBorders>
                  <w:vAlign w:val="center"/>
                </w:tcPr>
                <w:p>
                  <w:pPr>
                    <w:adjustRightInd w:val="0"/>
                    <w:snapToGrid w:val="0"/>
                    <w:jc w:val="center"/>
                    <w:rPr>
                      <w:szCs w:val="21"/>
                    </w:rPr>
                  </w:pPr>
                  <w:r>
                    <w:rPr>
                      <w:color w:val="000000"/>
                      <w:kern w:val="0"/>
                      <w:szCs w:val="21"/>
                      <w:lang w:bidi="ar"/>
                    </w:rPr>
                    <w:t>μg/m</w:t>
                  </w:r>
                  <w:r>
                    <w:rPr>
                      <w:color w:val="000000"/>
                      <w:kern w:val="0"/>
                      <w:szCs w:val="21"/>
                      <w:vertAlign w:val="superscript"/>
                      <w:lang w:bidi="ar"/>
                    </w:rPr>
                    <w:t>3</w:t>
                  </w:r>
                </w:p>
              </w:tc>
              <w:tc>
                <w:tcPr>
                  <w:tcW w:w="1087" w:type="dxa"/>
                  <w:tcBorders>
                    <w:tl2br w:val="nil"/>
                    <w:tr2bl w:val="nil"/>
                  </w:tcBorders>
                  <w:vAlign w:val="center"/>
                </w:tcPr>
                <w:p>
                  <w:pPr>
                    <w:adjustRightInd w:val="0"/>
                    <w:snapToGrid w:val="0"/>
                    <w:jc w:val="center"/>
                    <w:rPr>
                      <w:szCs w:val="21"/>
                    </w:rPr>
                  </w:pPr>
                  <w:r>
                    <w:rPr>
                      <w:szCs w:val="21"/>
                    </w:rPr>
                    <w:t>22</w:t>
                  </w:r>
                </w:p>
              </w:tc>
              <w:tc>
                <w:tcPr>
                  <w:tcW w:w="912" w:type="dxa"/>
                  <w:tcBorders>
                    <w:tl2br w:val="nil"/>
                    <w:tr2bl w:val="nil"/>
                  </w:tcBorders>
                  <w:vAlign w:val="center"/>
                </w:tcPr>
                <w:p>
                  <w:pPr>
                    <w:adjustRightInd w:val="0"/>
                    <w:snapToGrid w:val="0"/>
                    <w:jc w:val="center"/>
                    <w:rPr>
                      <w:szCs w:val="21"/>
                    </w:rPr>
                  </w:pPr>
                  <w:r>
                    <w:rPr>
                      <w:szCs w:val="21"/>
                    </w:rPr>
                    <w:t>40</w:t>
                  </w:r>
                </w:p>
              </w:tc>
              <w:tc>
                <w:tcPr>
                  <w:tcW w:w="969" w:type="dxa"/>
                  <w:tcBorders>
                    <w:tl2br w:val="nil"/>
                    <w:tr2bl w:val="nil"/>
                  </w:tcBorders>
                  <w:vAlign w:val="center"/>
                </w:tcPr>
                <w:p>
                  <w:pPr>
                    <w:adjustRightInd w:val="0"/>
                    <w:snapToGrid w:val="0"/>
                    <w:jc w:val="center"/>
                    <w:rPr>
                      <w:szCs w:val="21"/>
                    </w:rPr>
                  </w:pPr>
                  <w:r>
                    <w:rPr>
                      <w:szCs w:val="21"/>
                    </w:rPr>
                    <w:t>57</w:t>
                  </w:r>
                </w:p>
              </w:tc>
              <w:tc>
                <w:tcPr>
                  <w:tcW w:w="843" w:type="dxa"/>
                  <w:tcBorders>
                    <w:tl2br w:val="nil"/>
                    <w:tr2bl w:val="nil"/>
                  </w:tcBorders>
                  <w:vAlign w:val="center"/>
                </w:tcPr>
                <w:p>
                  <w:pPr>
                    <w:adjustRightInd w:val="0"/>
                    <w:snapToGrid w:val="0"/>
                    <w:jc w:val="center"/>
                    <w:rPr>
                      <w:szCs w:val="21"/>
                    </w:rPr>
                  </w:pPr>
                  <w:r>
                    <w:rPr>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jc w:val="center"/>
                    <w:rPr>
                      <w:szCs w:val="21"/>
                    </w:rPr>
                  </w:pPr>
                  <w:r>
                    <w:rPr>
                      <w:szCs w:val="21"/>
                    </w:rPr>
                    <w:t>3</w:t>
                  </w:r>
                </w:p>
              </w:tc>
              <w:tc>
                <w:tcPr>
                  <w:tcW w:w="1390" w:type="dxa"/>
                  <w:tcBorders>
                    <w:tl2br w:val="nil"/>
                    <w:tr2bl w:val="nil"/>
                  </w:tcBorders>
                  <w:vAlign w:val="center"/>
                </w:tcPr>
                <w:p>
                  <w:pPr>
                    <w:widowControl/>
                    <w:adjustRightInd w:val="0"/>
                    <w:snapToGrid w:val="0"/>
                    <w:jc w:val="center"/>
                    <w:rPr>
                      <w:szCs w:val="21"/>
                    </w:rPr>
                  </w:pPr>
                  <w:r>
                    <w:rPr>
                      <w:color w:val="000000"/>
                      <w:kern w:val="0"/>
                      <w:szCs w:val="21"/>
                      <w:lang w:bidi="ar"/>
                    </w:rPr>
                    <w:t>可吸入颗粒物（PM10）</w:t>
                  </w:r>
                </w:p>
              </w:tc>
              <w:tc>
                <w:tcPr>
                  <w:tcW w:w="1800" w:type="dxa"/>
                  <w:tcBorders>
                    <w:tl2br w:val="nil"/>
                    <w:tr2bl w:val="nil"/>
                  </w:tcBorders>
                  <w:vAlign w:val="center"/>
                </w:tcPr>
                <w:p>
                  <w:pPr>
                    <w:widowControl/>
                    <w:adjustRightInd w:val="0"/>
                    <w:snapToGrid w:val="0"/>
                    <w:jc w:val="center"/>
                    <w:rPr>
                      <w:szCs w:val="21"/>
                    </w:rPr>
                  </w:pPr>
                  <w:r>
                    <w:rPr>
                      <w:color w:val="000000"/>
                      <w:kern w:val="0"/>
                      <w:szCs w:val="21"/>
                      <w:lang w:bidi="ar"/>
                    </w:rPr>
                    <w:t>年平均质量浓度</w:t>
                  </w:r>
                </w:p>
              </w:tc>
              <w:tc>
                <w:tcPr>
                  <w:tcW w:w="938" w:type="dxa"/>
                  <w:tcBorders>
                    <w:tl2br w:val="nil"/>
                    <w:tr2bl w:val="nil"/>
                  </w:tcBorders>
                  <w:vAlign w:val="center"/>
                </w:tcPr>
                <w:p>
                  <w:pPr>
                    <w:adjustRightInd w:val="0"/>
                    <w:snapToGrid w:val="0"/>
                    <w:jc w:val="center"/>
                    <w:rPr>
                      <w:szCs w:val="21"/>
                    </w:rPr>
                  </w:pPr>
                  <w:r>
                    <w:rPr>
                      <w:color w:val="000000"/>
                      <w:kern w:val="0"/>
                      <w:szCs w:val="21"/>
                      <w:lang w:bidi="ar"/>
                    </w:rPr>
                    <w:t>μg/m</w:t>
                  </w:r>
                  <w:r>
                    <w:rPr>
                      <w:color w:val="000000"/>
                      <w:kern w:val="0"/>
                      <w:szCs w:val="21"/>
                      <w:vertAlign w:val="superscript"/>
                      <w:lang w:bidi="ar"/>
                    </w:rPr>
                    <w:t>3</w:t>
                  </w:r>
                </w:p>
              </w:tc>
              <w:tc>
                <w:tcPr>
                  <w:tcW w:w="1087" w:type="dxa"/>
                  <w:tcBorders>
                    <w:tl2br w:val="nil"/>
                    <w:tr2bl w:val="nil"/>
                  </w:tcBorders>
                  <w:vAlign w:val="center"/>
                </w:tcPr>
                <w:p>
                  <w:pPr>
                    <w:adjustRightInd w:val="0"/>
                    <w:snapToGrid w:val="0"/>
                    <w:jc w:val="center"/>
                    <w:rPr>
                      <w:szCs w:val="21"/>
                    </w:rPr>
                  </w:pPr>
                  <w:r>
                    <w:rPr>
                      <w:szCs w:val="21"/>
                    </w:rPr>
                    <w:t>32.3</w:t>
                  </w:r>
                </w:p>
              </w:tc>
              <w:tc>
                <w:tcPr>
                  <w:tcW w:w="912" w:type="dxa"/>
                  <w:tcBorders>
                    <w:tl2br w:val="nil"/>
                    <w:tr2bl w:val="nil"/>
                  </w:tcBorders>
                  <w:vAlign w:val="center"/>
                </w:tcPr>
                <w:p>
                  <w:pPr>
                    <w:adjustRightInd w:val="0"/>
                    <w:snapToGrid w:val="0"/>
                    <w:jc w:val="center"/>
                    <w:rPr>
                      <w:szCs w:val="21"/>
                    </w:rPr>
                  </w:pPr>
                  <w:r>
                    <w:rPr>
                      <w:szCs w:val="21"/>
                    </w:rPr>
                    <w:t>35</w:t>
                  </w:r>
                </w:p>
              </w:tc>
              <w:tc>
                <w:tcPr>
                  <w:tcW w:w="969" w:type="dxa"/>
                  <w:tcBorders>
                    <w:tl2br w:val="nil"/>
                    <w:tr2bl w:val="nil"/>
                  </w:tcBorders>
                  <w:vAlign w:val="center"/>
                </w:tcPr>
                <w:p>
                  <w:pPr>
                    <w:adjustRightInd w:val="0"/>
                    <w:snapToGrid w:val="0"/>
                    <w:jc w:val="center"/>
                    <w:rPr>
                      <w:szCs w:val="21"/>
                    </w:rPr>
                  </w:pPr>
                  <w:r>
                    <w:rPr>
                      <w:szCs w:val="21"/>
                    </w:rPr>
                    <w:t>9</w:t>
                  </w:r>
                  <w:r>
                    <w:rPr>
                      <w:rFonts w:hint="eastAsia"/>
                      <w:szCs w:val="21"/>
                    </w:rPr>
                    <w:t>3.2</w:t>
                  </w:r>
                </w:p>
              </w:tc>
              <w:tc>
                <w:tcPr>
                  <w:tcW w:w="843" w:type="dxa"/>
                  <w:tcBorders>
                    <w:tl2br w:val="nil"/>
                    <w:tr2bl w:val="nil"/>
                  </w:tcBorders>
                  <w:vAlign w:val="center"/>
                </w:tcPr>
                <w:p>
                  <w:pPr>
                    <w:adjustRightInd w:val="0"/>
                    <w:snapToGrid w:val="0"/>
                    <w:jc w:val="center"/>
                    <w:rPr>
                      <w:szCs w:val="21"/>
                    </w:rPr>
                  </w:pPr>
                  <w:r>
                    <w:rPr>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jc w:val="center"/>
                    <w:rPr>
                      <w:szCs w:val="21"/>
                    </w:rPr>
                  </w:pPr>
                  <w:r>
                    <w:rPr>
                      <w:szCs w:val="21"/>
                    </w:rPr>
                    <w:t>4</w:t>
                  </w:r>
                </w:p>
              </w:tc>
              <w:tc>
                <w:tcPr>
                  <w:tcW w:w="1390" w:type="dxa"/>
                  <w:tcBorders>
                    <w:tl2br w:val="nil"/>
                    <w:tr2bl w:val="nil"/>
                  </w:tcBorders>
                  <w:vAlign w:val="center"/>
                </w:tcPr>
                <w:p>
                  <w:pPr>
                    <w:widowControl/>
                    <w:adjustRightInd w:val="0"/>
                    <w:snapToGrid w:val="0"/>
                    <w:jc w:val="center"/>
                    <w:rPr>
                      <w:szCs w:val="21"/>
                    </w:rPr>
                  </w:pPr>
                  <w:r>
                    <w:rPr>
                      <w:color w:val="000000"/>
                      <w:kern w:val="0"/>
                      <w:szCs w:val="21"/>
                      <w:lang w:bidi="ar"/>
                    </w:rPr>
                    <w:t>细颗粒物（PM2.5）</w:t>
                  </w:r>
                </w:p>
              </w:tc>
              <w:tc>
                <w:tcPr>
                  <w:tcW w:w="1800" w:type="dxa"/>
                  <w:tcBorders>
                    <w:tl2br w:val="nil"/>
                    <w:tr2bl w:val="nil"/>
                  </w:tcBorders>
                  <w:vAlign w:val="center"/>
                </w:tcPr>
                <w:p>
                  <w:pPr>
                    <w:widowControl/>
                    <w:adjustRightInd w:val="0"/>
                    <w:snapToGrid w:val="0"/>
                    <w:jc w:val="center"/>
                    <w:rPr>
                      <w:szCs w:val="21"/>
                    </w:rPr>
                  </w:pPr>
                  <w:r>
                    <w:rPr>
                      <w:color w:val="000000"/>
                      <w:kern w:val="0"/>
                      <w:szCs w:val="21"/>
                      <w:lang w:bidi="ar"/>
                    </w:rPr>
                    <w:t>年平均质量浓度</w:t>
                  </w:r>
                </w:p>
              </w:tc>
              <w:tc>
                <w:tcPr>
                  <w:tcW w:w="938" w:type="dxa"/>
                  <w:tcBorders>
                    <w:tl2br w:val="nil"/>
                    <w:tr2bl w:val="nil"/>
                  </w:tcBorders>
                  <w:vAlign w:val="center"/>
                </w:tcPr>
                <w:p>
                  <w:pPr>
                    <w:adjustRightInd w:val="0"/>
                    <w:snapToGrid w:val="0"/>
                    <w:jc w:val="center"/>
                    <w:rPr>
                      <w:szCs w:val="21"/>
                    </w:rPr>
                  </w:pPr>
                  <w:r>
                    <w:rPr>
                      <w:color w:val="000000"/>
                      <w:kern w:val="0"/>
                      <w:szCs w:val="21"/>
                      <w:lang w:bidi="ar"/>
                    </w:rPr>
                    <w:t>μg/m</w:t>
                  </w:r>
                  <w:r>
                    <w:rPr>
                      <w:color w:val="000000"/>
                      <w:kern w:val="0"/>
                      <w:szCs w:val="21"/>
                      <w:vertAlign w:val="superscript"/>
                      <w:lang w:bidi="ar"/>
                    </w:rPr>
                    <w:t>3</w:t>
                  </w:r>
                </w:p>
              </w:tc>
              <w:tc>
                <w:tcPr>
                  <w:tcW w:w="1087" w:type="dxa"/>
                  <w:tcBorders>
                    <w:tl2br w:val="nil"/>
                    <w:tr2bl w:val="nil"/>
                  </w:tcBorders>
                  <w:vAlign w:val="center"/>
                </w:tcPr>
                <w:p>
                  <w:pPr>
                    <w:adjustRightInd w:val="0"/>
                    <w:snapToGrid w:val="0"/>
                    <w:jc w:val="center"/>
                    <w:rPr>
                      <w:szCs w:val="21"/>
                    </w:rPr>
                  </w:pPr>
                  <w:r>
                    <w:rPr>
                      <w:szCs w:val="21"/>
                    </w:rPr>
                    <w:t>52</w:t>
                  </w:r>
                </w:p>
              </w:tc>
              <w:tc>
                <w:tcPr>
                  <w:tcW w:w="912" w:type="dxa"/>
                  <w:tcBorders>
                    <w:tl2br w:val="nil"/>
                    <w:tr2bl w:val="nil"/>
                  </w:tcBorders>
                  <w:vAlign w:val="center"/>
                </w:tcPr>
                <w:p>
                  <w:pPr>
                    <w:adjustRightInd w:val="0"/>
                    <w:snapToGrid w:val="0"/>
                    <w:jc w:val="center"/>
                    <w:rPr>
                      <w:szCs w:val="21"/>
                    </w:rPr>
                  </w:pPr>
                  <w:r>
                    <w:rPr>
                      <w:szCs w:val="21"/>
                    </w:rPr>
                    <w:t>70</w:t>
                  </w:r>
                </w:p>
              </w:tc>
              <w:tc>
                <w:tcPr>
                  <w:tcW w:w="969" w:type="dxa"/>
                  <w:tcBorders>
                    <w:tl2br w:val="nil"/>
                    <w:tr2bl w:val="nil"/>
                  </w:tcBorders>
                  <w:vAlign w:val="center"/>
                </w:tcPr>
                <w:p>
                  <w:pPr>
                    <w:adjustRightInd w:val="0"/>
                    <w:snapToGrid w:val="0"/>
                    <w:jc w:val="center"/>
                    <w:rPr>
                      <w:szCs w:val="21"/>
                    </w:rPr>
                  </w:pPr>
                  <w:r>
                    <w:rPr>
                      <w:szCs w:val="21"/>
                    </w:rPr>
                    <w:t>74.3</w:t>
                  </w:r>
                </w:p>
              </w:tc>
              <w:tc>
                <w:tcPr>
                  <w:tcW w:w="843" w:type="dxa"/>
                  <w:tcBorders>
                    <w:tl2br w:val="nil"/>
                    <w:tr2bl w:val="nil"/>
                  </w:tcBorders>
                  <w:vAlign w:val="center"/>
                </w:tcPr>
                <w:p>
                  <w:pPr>
                    <w:adjustRightInd w:val="0"/>
                    <w:snapToGrid w:val="0"/>
                    <w:jc w:val="center"/>
                    <w:rPr>
                      <w:szCs w:val="21"/>
                    </w:rPr>
                  </w:pPr>
                  <w:r>
                    <w:rPr>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jc w:val="center"/>
                    <w:rPr>
                      <w:szCs w:val="21"/>
                    </w:rPr>
                  </w:pPr>
                  <w:r>
                    <w:rPr>
                      <w:szCs w:val="21"/>
                    </w:rPr>
                    <w:t>5</w:t>
                  </w:r>
                </w:p>
              </w:tc>
              <w:tc>
                <w:tcPr>
                  <w:tcW w:w="1390" w:type="dxa"/>
                  <w:tcBorders>
                    <w:tl2br w:val="nil"/>
                    <w:tr2bl w:val="nil"/>
                  </w:tcBorders>
                  <w:vAlign w:val="center"/>
                </w:tcPr>
                <w:p>
                  <w:pPr>
                    <w:widowControl/>
                    <w:adjustRightInd w:val="0"/>
                    <w:snapToGrid w:val="0"/>
                    <w:jc w:val="center"/>
                    <w:rPr>
                      <w:szCs w:val="21"/>
                    </w:rPr>
                  </w:pPr>
                  <w:r>
                    <w:rPr>
                      <w:color w:val="000000"/>
                      <w:kern w:val="0"/>
                      <w:szCs w:val="21"/>
                      <w:lang w:bidi="ar"/>
                    </w:rPr>
                    <w:t>一氧化碳（CO）</w:t>
                  </w:r>
                </w:p>
              </w:tc>
              <w:tc>
                <w:tcPr>
                  <w:tcW w:w="1800" w:type="dxa"/>
                  <w:tcBorders>
                    <w:tl2br w:val="nil"/>
                    <w:tr2bl w:val="nil"/>
                  </w:tcBorders>
                  <w:vAlign w:val="center"/>
                </w:tcPr>
                <w:p>
                  <w:pPr>
                    <w:widowControl/>
                    <w:adjustRightInd w:val="0"/>
                    <w:snapToGrid w:val="0"/>
                    <w:jc w:val="center"/>
                    <w:rPr>
                      <w:szCs w:val="21"/>
                    </w:rPr>
                  </w:pPr>
                  <w:r>
                    <w:rPr>
                      <w:color w:val="000000"/>
                      <w:kern w:val="0"/>
                      <w:szCs w:val="21"/>
                      <w:lang w:bidi="ar"/>
                    </w:rPr>
                    <w:t>24小时平均的第95百分位数</w:t>
                  </w:r>
                </w:p>
              </w:tc>
              <w:tc>
                <w:tcPr>
                  <w:tcW w:w="938" w:type="dxa"/>
                  <w:tcBorders>
                    <w:tl2br w:val="nil"/>
                    <w:tr2bl w:val="nil"/>
                  </w:tcBorders>
                  <w:vAlign w:val="center"/>
                </w:tcPr>
                <w:p>
                  <w:pPr>
                    <w:adjustRightInd w:val="0"/>
                    <w:snapToGrid w:val="0"/>
                    <w:jc w:val="center"/>
                    <w:rPr>
                      <w:szCs w:val="21"/>
                    </w:rPr>
                  </w:pPr>
                  <w:r>
                    <w:rPr>
                      <w:color w:val="000000"/>
                      <w:kern w:val="0"/>
                      <w:szCs w:val="21"/>
                      <w:lang w:bidi="ar"/>
                    </w:rPr>
                    <w:t>μg/m</w:t>
                  </w:r>
                  <w:r>
                    <w:rPr>
                      <w:color w:val="000000"/>
                      <w:kern w:val="0"/>
                      <w:szCs w:val="21"/>
                      <w:vertAlign w:val="superscript"/>
                      <w:lang w:bidi="ar"/>
                    </w:rPr>
                    <w:t>3</w:t>
                  </w:r>
                </w:p>
              </w:tc>
              <w:tc>
                <w:tcPr>
                  <w:tcW w:w="1087" w:type="dxa"/>
                  <w:tcBorders>
                    <w:tl2br w:val="nil"/>
                    <w:tr2bl w:val="nil"/>
                  </w:tcBorders>
                  <w:vAlign w:val="center"/>
                </w:tcPr>
                <w:p>
                  <w:pPr>
                    <w:adjustRightInd w:val="0"/>
                    <w:snapToGrid w:val="0"/>
                    <w:jc w:val="center"/>
                    <w:rPr>
                      <w:szCs w:val="21"/>
                    </w:rPr>
                  </w:pPr>
                  <w:r>
                    <w:rPr>
                      <w:szCs w:val="21"/>
                    </w:rPr>
                    <w:t>1000</w:t>
                  </w:r>
                </w:p>
              </w:tc>
              <w:tc>
                <w:tcPr>
                  <w:tcW w:w="912" w:type="dxa"/>
                  <w:tcBorders>
                    <w:tl2br w:val="nil"/>
                    <w:tr2bl w:val="nil"/>
                  </w:tcBorders>
                  <w:vAlign w:val="center"/>
                </w:tcPr>
                <w:p>
                  <w:pPr>
                    <w:adjustRightInd w:val="0"/>
                    <w:snapToGrid w:val="0"/>
                    <w:jc w:val="center"/>
                    <w:rPr>
                      <w:szCs w:val="21"/>
                    </w:rPr>
                  </w:pPr>
                  <w:r>
                    <w:rPr>
                      <w:szCs w:val="21"/>
                    </w:rPr>
                    <w:t>4000</w:t>
                  </w:r>
                </w:p>
              </w:tc>
              <w:tc>
                <w:tcPr>
                  <w:tcW w:w="969" w:type="dxa"/>
                  <w:tcBorders>
                    <w:tl2br w:val="nil"/>
                    <w:tr2bl w:val="nil"/>
                  </w:tcBorders>
                  <w:vAlign w:val="center"/>
                </w:tcPr>
                <w:p>
                  <w:pPr>
                    <w:adjustRightInd w:val="0"/>
                    <w:snapToGrid w:val="0"/>
                    <w:jc w:val="center"/>
                    <w:rPr>
                      <w:szCs w:val="21"/>
                    </w:rPr>
                  </w:pPr>
                  <w:r>
                    <w:rPr>
                      <w:szCs w:val="21"/>
                    </w:rPr>
                    <w:t>25</w:t>
                  </w:r>
                </w:p>
              </w:tc>
              <w:tc>
                <w:tcPr>
                  <w:tcW w:w="843" w:type="dxa"/>
                  <w:tcBorders>
                    <w:tl2br w:val="nil"/>
                    <w:tr2bl w:val="nil"/>
                  </w:tcBorders>
                  <w:vAlign w:val="center"/>
                </w:tcPr>
                <w:p>
                  <w:pPr>
                    <w:adjustRightInd w:val="0"/>
                    <w:snapToGrid w:val="0"/>
                    <w:jc w:val="center"/>
                    <w:rPr>
                      <w:szCs w:val="21"/>
                    </w:rPr>
                  </w:pPr>
                  <w:r>
                    <w:rPr>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jc w:val="center"/>
                    <w:rPr>
                      <w:szCs w:val="21"/>
                    </w:rPr>
                  </w:pPr>
                  <w:r>
                    <w:rPr>
                      <w:szCs w:val="21"/>
                    </w:rPr>
                    <w:t>6</w:t>
                  </w:r>
                </w:p>
              </w:tc>
              <w:tc>
                <w:tcPr>
                  <w:tcW w:w="1390" w:type="dxa"/>
                  <w:tcBorders>
                    <w:tl2br w:val="nil"/>
                    <w:tr2bl w:val="nil"/>
                  </w:tcBorders>
                  <w:vAlign w:val="center"/>
                </w:tcPr>
                <w:p>
                  <w:pPr>
                    <w:widowControl/>
                    <w:adjustRightInd w:val="0"/>
                    <w:snapToGrid w:val="0"/>
                    <w:jc w:val="center"/>
                    <w:rPr>
                      <w:szCs w:val="21"/>
                    </w:rPr>
                  </w:pPr>
                  <w:r>
                    <w:rPr>
                      <w:color w:val="000000"/>
                      <w:kern w:val="0"/>
                      <w:szCs w:val="21"/>
                      <w:lang w:bidi="ar"/>
                    </w:rPr>
                    <w:t>臭氧（O</w:t>
                  </w:r>
                  <w:r>
                    <w:rPr>
                      <w:color w:val="000000"/>
                      <w:kern w:val="0"/>
                      <w:szCs w:val="21"/>
                      <w:vertAlign w:val="subscript"/>
                      <w:lang w:bidi="ar"/>
                    </w:rPr>
                    <w:t>3</w:t>
                  </w:r>
                  <w:r>
                    <w:rPr>
                      <w:color w:val="000000"/>
                      <w:kern w:val="0"/>
                      <w:szCs w:val="21"/>
                      <w:lang w:bidi="ar"/>
                    </w:rPr>
                    <w:t>）</w:t>
                  </w:r>
                </w:p>
              </w:tc>
              <w:tc>
                <w:tcPr>
                  <w:tcW w:w="1800" w:type="dxa"/>
                  <w:tcBorders>
                    <w:tl2br w:val="nil"/>
                    <w:tr2bl w:val="nil"/>
                  </w:tcBorders>
                  <w:vAlign w:val="center"/>
                </w:tcPr>
                <w:p>
                  <w:pPr>
                    <w:widowControl/>
                    <w:adjustRightInd w:val="0"/>
                    <w:snapToGrid w:val="0"/>
                    <w:jc w:val="center"/>
                    <w:rPr>
                      <w:szCs w:val="21"/>
                    </w:rPr>
                  </w:pPr>
                  <w:r>
                    <w:rPr>
                      <w:color w:val="000000"/>
                      <w:kern w:val="0"/>
                      <w:szCs w:val="21"/>
                      <w:lang w:bidi="ar"/>
                    </w:rPr>
                    <w:t>日最大8小时滑动平均浓度的第90百分位数</w:t>
                  </w:r>
                </w:p>
              </w:tc>
              <w:tc>
                <w:tcPr>
                  <w:tcW w:w="938" w:type="dxa"/>
                  <w:tcBorders>
                    <w:tl2br w:val="nil"/>
                    <w:tr2bl w:val="nil"/>
                  </w:tcBorders>
                  <w:vAlign w:val="center"/>
                </w:tcPr>
                <w:p>
                  <w:pPr>
                    <w:adjustRightInd w:val="0"/>
                    <w:snapToGrid w:val="0"/>
                    <w:jc w:val="center"/>
                    <w:rPr>
                      <w:szCs w:val="21"/>
                    </w:rPr>
                  </w:pPr>
                  <w:r>
                    <w:rPr>
                      <w:color w:val="000000"/>
                      <w:kern w:val="0"/>
                      <w:szCs w:val="21"/>
                      <w:lang w:bidi="ar"/>
                    </w:rPr>
                    <w:t>μg/m</w:t>
                  </w:r>
                  <w:r>
                    <w:rPr>
                      <w:color w:val="000000"/>
                      <w:kern w:val="0"/>
                      <w:szCs w:val="21"/>
                      <w:vertAlign w:val="superscript"/>
                      <w:lang w:bidi="ar"/>
                    </w:rPr>
                    <w:t>3</w:t>
                  </w:r>
                </w:p>
              </w:tc>
              <w:tc>
                <w:tcPr>
                  <w:tcW w:w="1087" w:type="dxa"/>
                  <w:tcBorders>
                    <w:tl2br w:val="nil"/>
                    <w:tr2bl w:val="nil"/>
                  </w:tcBorders>
                  <w:vAlign w:val="center"/>
                </w:tcPr>
                <w:p>
                  <w:pPr>
                    <w:adjustRightInd w:val="0"/>
                    <w:snapToGrid w:val="0"/>
                    <w:jc w:val="center"/>
                    <w:rPr>
                      <w:szCs w:val="21"/>
                    </w:rPr>
                  </w:pPr>
                  <w:r>
                    <w:rPr>
                      <w:szCs w:val="21"/>
                    </w:rPr>
                    <w:t>172</w:t>
                  </w:r>
                </w:p>
              </w:tc>
              <w:tc>
                <w:tcPr>
                  <w:tcW w:w="912" w:type="dxa"/>
                  <w:tcBorders>
                    <w:tl2br w:val="nil"/>
                    <w:tr2bl w:val="nil"/>
                  </w:tcBorders>
                  <w:vAlign w:val="center"/>
                </w:tcPr>
                <w:p>
                  <w:pPr>
                    <w:adjustRightInd w:val="0"/>
                    <w:snapToGrid w:val="0"/>
                    <w:jc w:val="center"/>
                    <w:rPr>
                      <w:szCs w:val="21"/>
                    </w:rPr>
                  </w:pPr>
                  <w:r>
                    <w:rPr>
                      <w:szCs w:val="21"/>
                    </w:rPr>
                    <w:t>160</w:t>
                  </w:r>
                </w:p>
              </w:tc>
              <w:tc>
                <w:tcPr>
                  <w:tcW w:w="969" w:type="dxa"/>
                  <w:tcBorders>
                    <w:tl2br w:val="nil"/>
                    <w:tr2bl w:val="nil"/>
                  </w:tcBorders>
                  <w:vAlign w:val="center"/>
                </w:tcPr>
                <w:p>
                  <w:pPr>
                    <w:adjustRightInd w:val="0"/>
                    <w:snapToGrid w:val="0"/>
                    <w:jc w:val="center"/>
                    <w:rPr>
                      <w:szCs w:val="21"/>
                    </w:rPr>
                  </w:pPr>
                  <w:r>
                    <w:rPr>
                      <w:szCs w:val="21"/>
                    </w:rPr>
                    <w:t>107.5</w:t>
                  </w:r>
                </w:p>
              </w:tc>
              <w:tc>
                <w:tcPr>
                  <w:tcW w:w="843" w:type="dxa"/>
                  <w:tcBorders>
                    <w:tl2br w:val="nil"/>
                    <w:tr2bl w:val="nil"/>
                  </w:tcBorders>
                  <w:vAlign w:val="center"/>
                </w:tcPr>
                <w:p>
                  <w:pPr>
                    <w:adjustRightInd w:val="0"/>
                    <w:snapToGrid w:val="0"/>
                    <w:jc w:val="center"/>
                    <w:rPr>
                      <w:szCs w:val="21"/>
                    </w:rPr>
                  </w:pPr>
                  <w:r>
                    <w:rPr>
                      <w:szCs w:val="21"/>
                    </w:rPr>
                    <w:t>不达标</w:t>
                  </w:r>
                </w:p>
              </w:tc>
            </w:tr>
          </w:tbl>
          <w:p>
            <w:pPr>
              <w:pStyle w:val="16"/>
              <w:keepNext w:val="0"/>
              <w:keepLines w:val="0"/>
              <w:pageBreakBefore w:val="0"/>
              <w:widowControl/>
              <w:kinsoku/>
              <w:wordWrap/>
              <w:overflowPunct/>
              <w:topLinePunct w:val="0"/>
              <w:autoSpaceDE/>
              <w:autoSpaceDN/>
              <w:bidi w:val="0"/>
              <w:adjustRightInd/>
              <w:snapToGrid w:val="0"/>
              <w:spacing w:before="0" w:after="0" w:line="500" w:lineRule="exact"/>
              <w:ind w:right="0" w:firstLine="480" w:firstLineChars="200"/>
              <w:textAlignment w:val="auto"/>
              <w:rPr>
                <w:sz w:val="24"/>
                <w:szCs w:val="24"/>
              </w:rPr>
            </w:pPr>
            <w:r>
              <w:rPr>
                <w:rFonts w:hint="eastAsia"/>
                <w:sz w:val="24"/>
                <w:szCs w:val="24"/>
              </w:rPr>
              <w:t>由表</w:t>
            </w:r>
            <w:r>
              <w:rPr>
                <w:sz w:val="24"/>
                <w:szCs w:val="24"/>
              </w:rPr>
              <w:t>3-1</w:t>
            </w:r>
            <w:r>
              <w:rPr>
                <w:rFonts w:hint="eastAsia"/>
                <w:sz w:val="24"/>
                <w:szCs w:val="24"/>
              </w:rPr>
              <w:t>可见，</w:t>
            </w:r>
            <w:r>
              <w:rPr>
                <w:sz w:val="24"/>
                <w:szCs w:val="24"/>
              </w:rPr>
              <w:t>2022年泰州市环境空气质量主要污染物年评价指标中除臭氧外，其余主要污染物均能满足《环境空气质量标准》（GB3095-2012）二级标准限值要求，环境空气质量为不达标区。目前泰州市正在编制大气环境达标规划，其达标规划目标为</w:t>
            </w:r>
            <w:r>
              <w:rPr>
                <w:rFonts w:hint="eastAsia"/>
                <w:color w:val="0000FF"/>
                <w:sz w:val="24"/>
                <w:szCs w:val="24"/>
                <w:lang w:eastAsia="zh-CN"/>
              </w:rPr>
              <w:t>“</w:t>
            </w:r>
            <w:r>
              <w:rPr>
                <w:sz w:val="24"/>
                <w:szCs w:val="24"/>
              </w:rPr>
              <w:t>PM2.5浓度以2018年监测数据为基础，通过规划的实施，分近、远期逐步削减大气污染物排放量，以细颗粒物年均浓度达标为核心，全面改善环境空气质量，2025年实现全市环境空气质量达标。到2025年，环境空气质量六项指标（PM2.5、PM10、SO</w:t>
            </w:r>
            <w:r>
              <w:rPr>
                <w:sz w:val="24"/>
                <w:szCs w:val="24"/>
                <w:vertAlign w:val="subscript"/>
              </w:rPr>
              <w:t>2</w:t>
            </w:r>
            <w:r>
              <w:rPr>
                <w:sz w:val="24"/>
                <w:szCs w:val="24"/>
              </w:rPr>
              <w:t>、NO</w:t>
            </w:r>
            <w:r>
              <w:rPr>
                <w:sz w:val="24"/>
                <w:szCs w:val="24"/>
                <w:vertAlign w:val="subscript"/>
              </w:rPr>
              <w:t>2</w:t>
            </w:r>
            <w:r>
              <w:rPr>
                <w:sz w:val="24"/>
                <w:szCs w:val="24"/>
              </w:rPr>
              <w:t>、O</w:t>
            </w:r>
            <w:r>
              <w:rPr>
                <w:sz w:val="24"/>
                <w:szCs w:val="24"/>
                <w:vertAlign w:val="subscript"/>
              </w:rPr>
              <w:t>3</w:t>
            </w:r>
            <w:r>
              <w:rPr>
                <w:sz w:val="24"/>
                <w:szCs w:val="24"/>
              </w:rPr>
              <w:t>-8h、CO）年均浓度均达标，PM2.5低于35μg/m</w:t>
            </w:r>
            <w:r>
              <w:rPr>
                <w:sz w:val="24"/>
                <w:szCs w:val="24"/>
                <w:vertAlign w:val="superscript"/>
              </w:rPr>
              <w:t>3</w:t>
            </w:r>
            <w:r>
              <w:rPr>
                <w:sz w:val="24"/>
                <w:szCs w:val="24"/>
              </w:rPr>
              <w:t>，空气质量优良天数保持大于320天。</w:t>
            </w:r>
            <w:r>
              <w:rPr>
                <w:rFonts w:hint="eastAsia"/>
                <w:color w:val="0000FF"/>
                <w:sz w:val="24"/>
                <w:szCs w:val="24"/>
                <w:lang w:eastAsia="zh-CN"/>
              </w:rPr>
              <w:t>”</w:t>
            </w:r>
            <w:r>
              <w:rPr>
                <w:sz w:val="24"/>
                <w:szCs w:val="24"/>
              </w:rPr>
              <w:t>。</w:t>
            </w:r>
          </w:p>
          <w:p>
            <w:pPr>
              <w:numPr>
                <w:ilvl w:val="0"/>
                <w:numId w:val="7"/>
              </w:numPr>
              <w:spacing w:line="500" w:lineRule="exact"/>
              <w:ind w:firstLine="480" w:firstLineChars="200"/>
              <w:rPr>
                <w:kern w:val="0"/>
                <w:sz w:val="24"/>
              </w:rPr>
            </w:pPr>
            <w:r>
              <w:rPr>
                <w:rFonts w:hint="eastAsia"/>
                <w:kern w:val="0"/>
                <w:sz w:val="24"/>
              </w:rPr>
              <w:t>其他污染物环境质量现状</w:t>
            </w:r>
          </w:p>
          <w:p>
            <w:pPr>
              <w:pStyle w:val="16"/>
              <w:keepNext w:val="0"/>
              <w:keepLines w:val="0"/>
              <w:pageBreakBefore w:val="0"/>
              <w:widowControl/>
              <w:kinsoku/>
              <w:wordWrap/>
              <w:overflowPunct/>
              <w:topLinePunct w:val="0"/>
              <w:autoSpaceDE/>
              <w:autoSpaceDN/>
              <w:bidi w:val="0"/>
              <w:adjustRightInd/>
              <w:snapToGrid w:val="0"/>
              <w:spacing w:before="0" w:after="0" w:line="500" w:lineRule="exact"/>
              <w:ind w:right="0" w:firstLine="480" w:firstLineChars="200"/>
              <w:textAlignment w:val="auto"/>
              <w:rPr>
                <w:color w:val="000000"/>
                <w:sz w:val="24"/>
              </w:rPr>
            </w:pPr>
            <w:r>
              <w:rPr>
                <w:rFonts w:hint="eastAsia"/>
                <w:sz w:val="24"/>
                <w:szCs w:val="24"/>
              </w:rPr>
              <w:t>非甲烷总烃监测数据引用《江苏艾赛科生物技术有限公司辅酶类体外诊断试剂产业化项目环境影响报告书》中人才公寓大气监测点位监测数据，监测时间为2021年4月24日至30日，监测频率为连续7天。</w:t>
            </w:r>
            <w:r>
              <w:rPr>
                <w:rFonts w:hint="eastAsia"/>
                <w:color w:val="000000"/>
                <w:sz w:val="24"/>
              </w:rPr>
              <w:t>引用监测点位见表</w:t>
            </w:r>
            <w:r>
              <w:rPr>
                <w:color w:val="000000"/>
                <w:sz w:val="24"/>
              </w:rPr>
              <w:t>3-</w:t>
            </w:r>
            <w:r>
              <w:rPr>
                <w:rFonts w:hint="eastAsia"/>
                <w:color w:val="000000"/>
                <w:sz w:val="24"/>
              </w:rPr>
              <w:t>2，监测结果见表</w:t>
            </w:r>
            <w:r>
              <w:rPr>
                <w:color w:val="000000"/>
                <w:sz w:val="24"/>
              </w:rPr>
              <w:t>3-</w:t>
            </w:r>
            <w:r>
              <w:rPr>
                <w:rFonts w:hint="eastAsia"/>
                <w:color w:val="000000"/>
                <w:sz w:val="24"/>
              </w:rPr>
              <w:t>3，引用监测点均在项目评价范围内，监测时间未超过</w:t>
            </w:r>
            <w:r>
              <w:rPr>
                <w:color w:val="000000"/>
                <w:sz w:val="24"/>
              </w:rPr>
              <w:t>3</w:t>
            </w:r>
            <w:r>
              <w:rPr>
                <w:rFonts w:hint="eastAsia"/>
                <w:color w:val="000000"/>
                <w:sz w:val="24"/>
              </w:rPr>
              <w:t>年，符合《环境影响评价技术导则大气环境》（</w:t>
            </w:r>
            <w:r>
              <w:rPr>
                <w:color w:val="000000"/>
                <w:sz w:val="24"/>
              </w:rPr>
              <w:t>HJ2.2-2018</w:t>
            </w:r>
            <w:r>
              <w:rPr>
                <w:rFonts w:hint="eastAsia"/>
                <w:color w:val="000000"/>
                <w:sz w:val="24"/>
              </w:rPr>
              <w:t>）对大气环境质量现状引用数据的要求。</w:t>
            </w:r>
          </w:p>
          <w:p>
            <w:pPr>
              <w:keepNext w:val="0"/>
              <w:keepLines w:val="0"/>
              <w:pageBreakBefore w:val="0"/>
              <w:widowControl w:val="0"/>
              <w:kinsoku/>
              <w:wordWrap/>
              <w:overflowPunct/>
              <w:topLinePunct w:val="0"/>
              <w:autoSpaceDE/>
              <w:autoSpaceDN/>
              <w:bidi w:val="0"/>
              <w:adjustRightInd/>
              <w:snapToGrid/>
              <w:spacing w:before="120" w:beforeLines="50" w:after="157" w:afterLines="5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表3-2其他污染物监测点位表</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14"/>
              <w:gridCol w:w="1056"/>
              <w:gridCol w:w="1103"/>
              <w:gridCol w:w="877"/>
              <w:gridCol w:w="2374"/>
              <w:gridCol w:w="710"/>
              <w:gridCol w:w="8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42" w:type="pct"/>
                  <w:vMerge w:val="restart"/>
                  <w:tcBorders>
                    <w:top w:val="single" w:color="auto" w:sz="12" w:space="0"/>
                    <w:bottom w:val="single" w:color="auto" w:sz="12"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监测点名称</w:t>
                  </w:r>
                </w:p>
              </w:tc>
              <w:tc>
                <w:tcPr>
                  <w:tcW w:w="1286" w:type="pct"/>
                  <w:gridSpan w:val="2"/>
                  <w:tcBorders>
                    <w:top w:val="single" w:color="auto" w:sz="12" w:space="0"/>
                    <w:left w:val="single" w:color="auto" w:sz="4" w:space="0"/>
                    <w:bottom w:val="single" w:color="auto" w:sz="12"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监测点坐标</w:t>
                  </w:r>
                  <w:r>
                    <w:rPr>
                      <w:b/>
                      <w:bCs/>
                      <w:color w:val="000000"/>
                      <w:szCs w:val="21"/>
                    </w:rPr>
                    <w:t>/m</w:t>
                  </w:r>
                </w:p>
                <w:p>
                  <w:pPr>
                    <w:autoSpaceDE w:val="0"/>
                    <w:autoSpaceDN w:val="0"/>
                    <w:adjustRightInd w:val="0"/>
                    <w:snapToGrid w:val="0"/>
                    <w:jc w:val="center"/>
                    <w:rPr>
                      <w:b/>
                      <w:bCs/>
                      <w:color w:val="000000"/>
                      <w:szCs w:val="21"/>
                    </w:rPr>
                  </w:pPr>
                  <w:r>
                    <w:rPr>
                      <w:rFonts w:hint="eastAsia"/>
                      <w:b/>
                      <w:bCs/>
                      <w:color w:val="000000"/>
                      <w:szCs w:val="21"/>
                    </w:rPr>
                    <w:t>（</w:t>
                  </w:r>
                  <w:r>
                    <w:rPr>
                      <w:b/>
                      <w:bCs/>
                      <w:color w:val="000000"/>
                      <w:szCs w:val="21"/>
                    </w:rPr>
                    <w:t>UTM</w:t>
                  </w:r>
                  <w:r>
                    <w:rPr>
                      <w:rFonts w:hint="eastAsia"/>
                      <w:b/>
                      <w:bCs/>
                      <w:color w:val="000000"/>
                      <w:szCs w:val="21"/>
                    </w:rPr>
                    <w:t>坐标）</w:t>
                  </w:r>
                </w:p>
              </w:tc>
              <w:tc>
                <w:tcPr>
                  <w:tcW w:w="522" w:type="pct"/>
                  <w:vMerge w:val="restart"/>
                  <w:tcBorders>
                    <w:top w:val="single" w:color="auto" w:sz="12" w:space="0"/>
                    <w:left w:val="single" w:color="auto" w:sz="4" w:space="0"/>
                    <w:bottom w:val="single" w:color="auto" w:sz="12"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监测因子</w:t>
                  </w:r>
                </w:p>
              </w:tc>
              <w:tc>
                <w:tcPr>
                  <w:tcW w:w="1414" w:type="pct"/>
                  <w:vMerge w:val="restart"/>
                  <w:tcBorders>
                    <w:top w:val="single" w:color="auto" w:sz="12" w:space="0"/>
                    <w:left w:val="single" w:color="auto" w:sz="4"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监测时段</w:t>
                  </w:r>
                </w:p>
              </w:tc>
              <w:tc>
                <w:tcPr>
                  <w:tcW w:w="423" w:type="pct"/>
                  <w:vMerge w:val="restart"/>
                  <w:tcBorders>
                    <w:top w:val="single" w:color="auto" w:sz="12" w:space="0"/>
                    <w:left w:val="single" w:color="auto" w:sz="4" w:space="0"/>
                    <w:bottom w:val="single" w:color="auto" w:sz="12"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相对厂址方位</w:t>
                  </w:r>
                </w:p>
              </w:tc>
              <w:tc>
                <w:tcPr>
                  <w:tcW w:w="510" w:type="pct"/>
                  <w:vMerge w:val="restart"/>
                  <w:tcBorders>
                    <w:top w:val="single" w:color="auto" w:sz="12" w:space="0"/>
                    <w:left w:val="single" w:color="auto" w:sz="4" w:space="0"/>
                    <w:bottom w:val="single" w:color="auto" w:sz="12" w:space="0"/>
                  </w:tcBorders>
                  <w:vAlign w:val="center"/>
                </w:tcPr>
                <w:p>
                  <w:pPr>
                    <w:autoSpaceDE w:val="0"/>
                    <w:autoSpaceDN w:val="0"/>
                    <w:adjustRightInd w:val="0"/>
                    <w:snapToGrid w:val="0"/>
                    <w:jc w:val="center"/>
                    <w:rPr>
                      <w:b/>
                      <w:bCs/>
                      <w:color w:val="000000"/>
                      <w:szCs w:val="21"/>
                    </w:rPr>
                  </w:pPr>
                  <w:r>
                    <w:rPr>
                      <w:rFonts w:hint="eastAsia"/>
                      <w:b/>
                      <w:bCs/>
                      <w:color w:val="000000"/>
                      <w:szCs w:val="21"/>
                    </w:rPr>
                    <w:t>相对本项目厂址距离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42" w:type="pct"/>
                  <w:vMerge w:val="continue"/>
                  <w:tcBorders>
                    <w:top w:val="single" w:color="auto" w:sz="12" w:space="0"/>
                    <w:bottom w:val="single" w:color="auto" w:sz="12" w:space="0"/>
                    <w:right w:val="single" w:color="auto" w:sz="4" w:space="0"/>
                  </w:tcBorders>
                  <w:vAlign w:val="center"/>
                </w:tcPr>
                <w:p>
                  <w:pPr>
                    <w:widowControl/>
                    <w:jc w:val="center"/>
                    <w:rPr>
                      <w:color w:val="000000"/>
                      <w:szCs w:val="21"/>
                    </w:rPr>
                  </w:pPr>
                </w:p>
              </w:tc>
              <w:tc>
                <w:tcPr>
                  <w:tcW w:w="629" w:type="pct"/>
                  <w:tcBorders>
                    <w:top w:val="single" w:color="auto" w:sz="12" w:space="0"/>
                    <w:left w:val="single" w:color="auto" w:sz="4" w:space="0"/>
                    <w:bottom w:val="single" w:color="auto" w:sz="12" w:space="0"/>
                    <w:right w:val="single" w:color="auto" w:sz="4" w:space="0"/>
                  </w:tcBorders>
                  <w:vAlign w:val="center"/>
                </w:tcPr>
                <w:p>
                  <w:pPr>
                    <w:widowControl/>
                    <w:jc w:val="center"/>
                    <w:rPr>
                      <w:color w:val="000000"/>
                      <w:szCs w:val="21"/>
                    </w:rPr>
                  </w:pPr>
                  <w:r>
                    <w:rPr>
                      <w:color w:val="000000"/>
                      <w:szCs w:val="21"/>
                    </w:rPr>
                    <w:t>X</w:t>
                  </w:r>
                </w:p>
              </w:tc>
              <w:tc>
                <w:tcPr>
                  <w:tcW w:w="657" w:type="pct"/>
                  <w:tcBorders>
                    <w:top w:val="single" w:color="auto" w:sz="12" w:space="0"/>
                    <w:left w:val="single" w:color="auto" w:sz="4" w:space="0"/>
                    <w:bottom w:val="single" w:color="auto" w:sz="12" w:space="0"/>
                    <w:right w:val="single" w:color="auto" w:sz="4" w:space="0"/>
                  </w:tcBorders>
                  <w:vAlign w:val="center"/>
                </w:tcPr>
                <w:p>
                  <w:pPr>
                    <w:widowControl/>
                    <w:jc w:val="center"/>
                    <w:rPr>
                      <w:color w:val="000000"/>
                      <w:szCs w:val="21"/>
                    </w:rPr>
                  </w:pPr>
                  <w:r>
                    <w:rPr>
                      <w:color w:val="000000"/>
                      <w:szCs w:val="21"/>
                    </w:rPr>
                    <w:t>Y</w:t>
                  </w:r>
                </w:p>
              </w:tc>
              <w:tc>
                <w:tcPr>
                  <w:tcW w:w="522" w:type="pct"/>
                  <w:vMerge w:val="continue"/>
                  <w:tcBorders>
                    <w:top w:val="single" w:color="auto" w:sz="12" w:space="0"/>
                    <w:left w:val="single" w:color="auto" w:sz="4" w:space="0"/>
                    <w:bottom w:val="single" w:color="auto" w:sz="12" w:space="0"/>
                    <w:right w:val="single" w:color="auto" w:sz="4" w:space="0"/>
                  </w:tcBorders>
                  <w:vAlign w:val="center"/>
                </w:tcPr>
                <w:p>
                  <w:pPr>
                    <w:widowControl/>
                    <w:jc w:val="center"/>
                    <w:rPr>
                      <w:color w:val="000000"/>
                      <w:szCs w:val="21"/>
                    </w:rPr>
                  </w:pPr>
                </w:p>
              </w:tc>
              <w:tc>
                <w:tcPr>
                  <w:tcW w:w="1414" w:type="pct"/>
                  <w:vMerge w:val="continue"/>
                  <w:tcBorders>
                    <w:left w:val="single" w:color="auto" w:sz="4" w:space="0"/>
                    <w:bottom w:val="single" w:color="auto" w:sz="12" w:space="0"/>
                    <w:right w:val="single" w:color="auto" w:sz="4" w:space="0"/>
                  </w:tcBorders>
                  <w:vAlign w:val="center"/>
                </w:tcPr>
                <w:p>
                  <w:pPr>
                    <w:widowControl/>
                    <w:jc w:val="center"/>
                    <w:rPr>
                      <w:color w:val="000000"/>
                      <w:szCs w:val="21"/>
                    </w:rPr>
                  </w:pPr>
                </w:p>
              </w:tc>
              <w:tc>
                <w:tcPr>
                  <w:tcW w:w="423" w:type="pct"/>
                  <w:vMerge w:val="continue"/>
                  <w:tcBorders>
                    <w:top w:val="single" w:color="auto" w:sz="12" w:space="0"/>
                    <w:left w:val="single" w:color="auto" w:sz="4" w:space="0"/>
                    <w:bottom w:val="single" w:color="auto" w:sz="12" w:space="0"/>
                    <w:right w:val="single" w:color="auto" w:sz="4" w:space="0"/>
                  </w:tcBorders>
                  <w:vAlign w:val="center"/>
                </w:tcPr>
                <w:p>
                  <w:pPr>
                    <w:widowControl/>
                    <w:jc w:val="center"/>
                    <w:rPr>
                      <w:color w:val="000000"/>
                      <w:szCs w:val="21"/>
                    </w:rPr>
                  </w:pPr>
                </w:p>
              </w:tc>
              <w:tc>
                <w:tcPr>
                  <w:tcW w:w="510" w:type="pct"/>
                  <w:vMerge w:val="continue"/>
                  <w:tcBorders>
                    <w:top w:val="single" w:color="auto" w:sz="12" w:space="0"/>
                    <w:left w:val="single" w:color="auto" w:sz="4" w:space="0"/>
                    <w:bottom w:val="single" w:color="auto" w:sz="12" w:space="0"/>
                  </w:tcBorders>
                  <w:vAlign w:val="center"/>
                </w:tcPr>
                <w:p>
                  <w:pPr>
                    <w:widowControl/>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42" w:type="pct"/>
                  <w:tcBorders>
                    <w:top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G3人才公寓</w:t>
                  </w:r>
                </w:p>
              </w:tc>
              <w:tc>
                <w:tcPr>
                  <w:tcW w:w="629" w:type="pct"/>
                  <w:tcBorders>
                    <w:top w:val="single" w:color="auto" w:sz="4" w:space="0"/>
                    <w:left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77.0255</w:t>
                  </w:r>
                </w:p>
              </w:tc>
              <w:tc>
                <w:tcPr>
                  <w:tcW w:w="657" w:type="pct"/>
                  <w:tcBorders>
                    <w:top w:val="single" w:color="auto" w:sz="4" w:space="0"/>
                    <w:left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35.87644</w:t>
                  </w:r>
                </w:p>
              </w:tc>
              <w:tc>
                <w:tcPr>
                  <w:tcW w:w="522" w:type="pct"/>
                  <w:tcBorders>
                    <w:left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非甲烷总烃</w:t>
                  </w:r>
                </w:p>
              </w:tc>
              <w:tc>
                <w:tcPr>
                  <w:tcW w:w="1414" w:type="pct"/>
                  <w:tcBorders>
                    <w:left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小时均值：每天取样</w:t>
                  </w:r>
                  <w:r>
                    <w:rPr>
                      <w:color w:val="000000"/>
                      <w:szCs w:val="21"/>
                    </w:rPr>
                    <w:t>4</w:t>
                  </w:r>
                  <w:r>
                    <w:rPr>
                      <w:rFonts w:hint="eastAsia"/>
                      <w:color w:val="000000"/>
                      <w:szCs w:val="21"/>
                    </w:rPr>
                    <w:t>次时间分别为</w:t>
                  </w:r>
                  <w:r>
                    <w:rPr>
                      <w:color w:val="000000"/>
                      <w:szCs w:val="21"/>
                    </w:rPr>
                    <w:t>02:00</w:t>
                  </w:r>
                  <w:r>
                    <w:rPr>
                      <w:rFonts w:hint="eastAsia"/>
                      <w:color w:val="000000"/>
                      <w:szCs w:val="21"/>
                    </w:rPr>
                    <w:t>、</w:t>
                  </w:r>
                  <w:r>
                    <w:rPr>
                      <w:color w:val="000000"/>
                      <w:szCs w:val="21"/>
                    </w:rPr>
                    <w:t>08:00</w:t>
                  </w:r>
                  <w:r>
                    <w:rPr>
                      <w:rFonts w:hint="eastAsia"/>
                      <w:color w:val="000000"/>
                      <w:szCs w:val="21"/>
                    </w:rPr>
                    <w:t>、</w:t>
                  </w:r>
                  <w:r>
                    <w:rPr>
                      <w:color w:val="000000"/>
                      <w:szCs w:val="21"/>
                    </w:rPr>
                    <w:t>14:00</w:t>
                  </w:r>
                  <w:r>
                    <w:rPr>
                      <w:rFonts w:hint="eastAsia"/>
                      <w:color w:val="000000"/>
                      <w:szCs w:val="21"/>
                    </w:rPr>
                    <w:t>、</w:t>
                  </w:r>
                  <w:r>
                    <w:rPr>
                      <w:color w:val="000000"/>
                      <w:szCs w:val="21"/>
                    </w:rPr>
                    <w:t>20:00</w:t>
                  </w:r>
                  <w:r>
                    <w:rPr>
                      <w:rFonts w:hint="eastAsia"/>
                      <w:color w:val="000000"/>
                      <w:szCs w:val="21"/>
                    </w:rPr>
                    <w:t>。每小时采样至少有</w:t>
                  </w:r>
                  <w:r>
                    <w:rPr>
                      <w:color w:val="000000"/>
                      <w:szCs w:val="21"/>
                    </w:rPr>
                    <w:t>45min</w:t>
                  </w:r>
                  <w:r>
                    <w:rPr>
                      <w:rFonts w:hint="eastAsia"/>
                      <w:color w:val="000000"/>
                      <w:szCs w:val="21"/>
                    </w:rPr>
                    <w:t>，连续监测</w:t>
                  </w:r>
                  <w:r>
                    <w:rPr>
                      <w:color w:val="000000"/>
                      <w:szCs w:val="21"/>
                    </w:rPr>
                    <w:t>7</w:t>
                  </w:r>
                  <w:r>
                    <w:rPr>
                      <w:rFonts w:hint="eastAsia"/>
                      <w:color w:val="000000"/>
                      <w:szCs w:val="21"/>
                    </w:rPr>
                    <w:t>天</w:t>
                  </w:r>
                </w:p>
              </w:tc>
              <w:tc>
                <w:tcPr>
                  <w:tcW w:w="423" w:type="pct"/>
                  <w:tcBorders>
                    <w:top w:val="single" w:color="auto" w:sz="4" w:space="0"/>
                    <w:left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NW</w:t>
                  </w:r>
                </w:p>
              </w:tc>
              <w:tc>
                <w:tcPr>
                  <w:tcW w:w="510" w:type="pct"/>
                  <w:tcBorders>
                    <w:top w:val="single" w:color="auto" w:sz="4" w:space="0"/>
                    <w:left w:val="single" w:color="auto" w:sz="4" w:space="0"/>
                    <w:bottom w:val="single" w:color="auto" w:sz="12" w:space="0"/>
                  </w:tcBorders>
                  <w:vAlign w:val="center"/>
                </w:tcPr>
                <w:p>
                  <w:pPr>
                    <w:widowControl/>
                    <w:jc w:val="center"/>
                    <w:rPr>
                      <w:color w:val="000000"/>
                      <w:szCs w:val="21"/>
                    </w:rPr>
                  </w:pPr>
                  <w:r>
                    <w:rPr>
                      <w:rFonts w:hint="eastAsia"/>
                      <w:color w:val="000000"/>
                      <w:szCs w:val="21"/>
                    </w:rPr>
                    <w:t>4549</w:t>
                  </w:r>
                </w:p>
              </w:tc>
            </w:tr>
          </w:tbl>
          <w:p>
            <w:pPr>
              <w:keepNext w:val="0"/>
              <w:keepLines w:val="0"/>
              <w:pageBreakBefore w:val="0"/>
              <w:widowControl w:val="0"/>
              <w:kinsoku/>
              <w:wordWrap/>
              <w:overflowPunct/>
              <w:topLinePunct w:val="0"/>
              <w:autoSpaceDE/>
              <w:autoSpaceDN/>
              <w:bidi w:val="0"/>
              <w:adjustRightInd/>
              <w:snapToGrid/>
              <w:spacing w:before="120" w:beforeLines="50" w:after="157" w:afterLines="5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表3-3其他污染物环境质量现状监测结果汇总表（单位：μg/m</w:t>
            </w:r>
            <w:r>
              <w:rPr>
                <w:rFonts w:hint="eastAsia"/>
                <w:b/>
                <w:color w:val="000000" w:themeColor="text1"/>
                <w:szCs w:val="21"/>
                <w:vertAlign w:val="superscript"/>
                <w14:textFill>
                  <w14:solidFill>
                    <w14:schemeClr w14:val="tx1"/>
                  </w14:solidFill>
                </w14:textFill>
              </w:rPr>
              <w:t>3</w:t>
            </w:r>
            <w:r>
              <w:rPr>
                <w:rFonts w:hint="eastAsia"/>
                <w:b/>
                <w:color w:val="000000" w:themeColor="text1"/>
                <w:szCs w:val="21"/>
                <w14:textFill>
                  <w14:solidFill>
                    <w14:schemeClr w14:val="tx1"/>
                  </w14:solidFill>
                </w14:textFill>
              </w:rPr>
              <w:t>）</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5"/>
              <w:gridCol w:w="899"/>
              <w:gridCol w:w="1004"/>
              <w:gridCol w:w="605"/>
              <w:gridCol w:w="614"/>
              <w:gridCol w:w="1163"/>
              <w:gridCol w:w="1220"/>
              <w:gridCol w:w="1111"/>
              <w:gridCol w:w="598"/>
              <w:gridCol w:w="5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35" w:type="dxa"/>
                  <w:vMerge w:val="restart"/>
                  <w:tcBorders>
                    <w:top w:val="single" w:color="auto" w:sz="12" w:space="0"/>
                    <w:bottom w:val="single" w:color="auto" w:sz="4"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污染物</w:t>
                  </w:r>
                </w:p>
              </w:tc>
              <w:tc>
                <w:tcPr>
                  <w:tcW w:w="1903" w:type="dxa"/>
                  <w:gridSpan w:val="2"/>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监测点坐标</w:t>
                  </w:r>
                  <w:r>
                    <w:rPr>
                      <w:b/>
                      <w:bCs/>
                      <w:color w:val="000000"/>
                      <w:szCs w:val="21"/>
                    </w:rPr>
                    <w:t>/m</w:t>
                  </w:r>
                  <w:r>
                    <w:rPr>
                      <w:rFonts w:hint="eastAsia"/>
                      <w:b/>
                      <w:bCs/>
                      <w:color w:val="000000"/>
                      <w:szCs w:val="21"/>
                    </w:rPr>
                    <w:t>（</w:t>
                  </w:r>
                  <w:r>
                    <w:rPr>
                      <w:b/>
                      <w:bCs/>
                      <w:color w:val="000000"/>
                      <w:szCs w:val="21"/>
                    </w:rPr>
                    <w:t>UTM</w:t>
                  </w:r>
                  <w:r>
                    <w:rPr>
                      <w:rFonts w:hint="eastAsia"/>
                      <w:b/>
                      <w:bCs/>
                      <w:color w:val="000000"/>
                      <w:szCs w:val="21"/>
                    </w:rPr>
                    <w:t>坐标）</w:t>
                  </w:r>
                </w:p>
              </w:tc>
              <w:tc>
                <w:tcPr>
                  <w:tcW w:w="605" w:type="dxa"/>
                  <w:vMerge w:val="restart"/>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污染物</w:t>
                  </w:r>
                </w:p>
              </w:tc>
              <w:tc>
                <w:tcPr>
                  <w:tcW w:w="614" w:type="dxa"/>
                  <w:vMerge w:val="restart"/>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平均时间</w:t>
                  </w:r>
                </w:p>
              </w:tc>
              <w:tc>
                <w:tcPr>
                  <w:tcW w:w="1163" w:type="dxa"/>
                  <w:vMerge w:val="restart"/>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评价标准</w:t>
                  </w:r>
                </w:p>
                <w:p>
                  <w:pPr>
                    <w:autoSpaceDE w:val="0"/>
                    <w:autoSpaceDN w:val="0"/>
                    <w:adjustRightInd w:val="0"/>
                    <w:snapToGrid w:val="0"/>
                    <w:jc w:val="center"/>
                    <w:rPr>
                      <w:b/>
                      <w:bCs/>
                      <w:color w:val="000000"/>
                      <w:szCs w:val="21"/>
                    </w:rPr>
                  </w:pPr>
                  <w:r>
                    <w:rPr>
                      <w:rFonts w:hint="eastAsia"/>
                      <w:b/>
                      <w:bCs/>
                      <w:color w:val="000000"/>
                      <w:szCs w:val="21"/>
                    </w:rPr>
                    <w:t>（</w:t>
                  </w:r>
                  <w:r>
                    <w:rPr>
                      <w:b/>
                      <w:bCs/>
                      <w:color w:val="000000"/>
                      <w:szCs w:val="21"/>
                    </w:rPr>
                    <w:t>μg/m</w:t>
                  </w:r>
                  <w:r>
                    <w:rPr>
                      <w:b/>
                      <w:bCs/>
                      <w:color w:val="000000"/>
                      <w:szCs w:val="21"/>
                      <w:vertAlign w:val="superscript"/>
                    </w:rPr>
                    <w:t>3</w:t>
                  </w:r>
                  <w:r>
                    <w:rPr>
                      <w:rFonts w:hint="eastAsia"/>
                      <w:b/>
                      <w:bCs/>
                      <w:color w:val="000000"/>
                      <w:szCs w:val="21"/>
                    </w:rPr>
                    <w:t>）</w:t>
                  </w:r>
                </w:p>
              </w:tc>
              <w:tc>
                <w:tcPr>
                  <w:tcW w:w="1220" w:type="dxa"/>
                  <w:vMerge w:val="restart"/>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监测浓度范围</w:t>
                  </w:r>
                </w:p>
                <w:p>
                  <w:pPr>
                    <w:autoSpaceDE w:val="0"/>
                    <w:autoSpaceDN w:val="0"/>
                    <w:adjustRightInd w:val="0"/>
                    <w:snapToGrid w:val="0"/>
                    <w:jc w:val="center"/>
                    <w:rPr>
                      <w:b/>
                      <w:bCs/>
                      <w:color w:val="000000"/>
                      <w:szCs w:val="21"/>
                    </w:rPr>
                  </w:pPr>
                  <w:r>
                    <w:rPr>
                      <w:rFonts w:hint="eastAsia"/>
                      <w:b/>
                      <w:bCs/>
                      <w:color w:val="000000"/>
                      <w:szCs w:val="21"/>
                    </w:rPr>
                    <w:t>（</w:t>
                  </w:r>
                  <w:r>
                    <w:rPr>
                      <w:b/>
                      <w:bCs/>
                      <w:color w:val="000000"/>
                      <w:szCs w:val="21"/>
                    </w:rPr>
                    <w:t>μg/m</w:t>
                  </w:r>
                  <w:r>
                    <w:rPr>
                      <w:b/>
                      <w:bCs/>
                      <w:color w:val="000000"/>
                      <w:szCs w:val="21"/>
                      <w:vertAlign w:val="superscript"/>
                    </w:rPr>
                    <w:t>3</w:t>
                  </w:r>
                  <w:r>
                    <w:rPr>
                      <w:rFonts w:hint="eastAsia"/>
                      <w:b/>
                      <w:bCs/>
                      <w:color w:val="000000"/>
                      <w:szCs w:val="21"/>
                    </w:rPr>
                    <w:t>）</w:t>
                  </w:r>
                </w:p>
              </w:tc>
              <w:tc>
                <w:tcPr>
                  <w:tcW w:w="1111" w:type="dxa"/>
                  <w:vMerge w:val="restart"/>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最大浓度占标率（</w:t>
                  </w:r>
                  <w:r>
                    <w:rPr>
                      <w:b/>
                      <w:bCs/>
                      <w:color w:val="000000"/>
                      <w:szCs w:val="21"/>
                    </w:rPr>
                    <w:t>%</w:t>
                  </w:r>
                  <w:r>
                    <w:rPr>
                      <w:rFonts w:hint="eastAsia"/>
                      <w:b/>
                      <w:bCs/>
                      <w:color w:val="000000"/>
                      <w:szCs w:val="21"/>
                    </w:rPr>
                    <w:t>）</w:t>
                  </w:r>
                </w:p>
              </w:tc>
              <w:tc>
                <w:tcPr>
                  <w:tcW w:w="598" w:type="dxa"/>
                  <w:vMerge w:val="restart"/>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超标率</w:t>
                  </w:r>
                  <w:r>
                    <w:rPr>
                      <w:b/>
                      <w:bCs/>
                      <w:color w:val="000000"/>
                      <w:szCs w:val="21"/>
                    </w:rPr>
                    <w:t>/%</w:t>
                  </w:r>
                </w:p>
              </w:tc>
              <w:tc>
                <w:tcPr>
                  <w:tcW w:w="540" w:type="dxa"/>
                  <w:vMerge w:val="restart"/>
                  <w:tcBorders>
                    <w:top w:val="single" w:color="auto" w:sz="12" w:space="0"/>
                    <w:left w:val="single" w:color="auto" w:sz="4" w:space="0"/>
                    <w:bottom w:val="single" w:color="auto" w:sz="4" w:space="0"/>
                  </w:tcBorders>
                  <w:vAlign w:val="center"/>
                </w:tcPr>
                <w:p>
                  <w:pPr>
                    <w:autoSpaceDE w:val="0"/>
                    <w:autoSpaceDN w:val="0"/>
                    <w:adjustRightInd w:val="0"/>
                    <w:snapToGrid w:val="0"/>
                    <w:jc w:val="center"/>
                    <w:rPr>
                      <w:b/>
                      <w:bCs/>
                      <w:color w:val="000000"/>
                      <w:szCs w:val="21"/>
                    </w:rPr>
                  </w:pPr>
                  <w:r>
                    <w:rPr>
                      <w:rFonts w:hint="eastAsia"/>
                      <w:b/>
                      <w:bCs/>
                      <w:color w:val="000000"/>
                      <w:szCs w:val="21"/>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35" w:type="dxa"/>
                  <w:vMerge w:val="continue"/>
                  <w:tcBorders>
                    <w:top w:val="single" w:color="auto" w:sz="4" w:space="0"/>
                    <w:bottom w:val="single" w:color="auto" w:sz="4" w:space="0"/>
                    <w:right w:val="single" w:color="auto" w:sz="4" w:space="0"/>
                  </w:tcBorders>
                  <w:vAlign w:val="center"/>
                </w:tcPr>
                <w:p>
                  <w:pPr>
                    <w:widowControl/>
                    <w:jc w:val="center"/>
                    <w:rPr>
                      <w:color w:val="000000"/>
                      <w:szCs w:val="21"/>
                    </w:rPr>
                  </w:pPr>
                </w:p>
              </w:tc>
              <w:tc>
                <w:tcPr>
                  <w:tcW w:w="899"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szCs w:val="21"/>
                    </w:rPr>
                  </w:pPr>
                  <w:r>
                    <w:rPr>
                      <w:color w:val="000000"/>
                      <w:szCs w:val="21"/>
                    </w:rPr>
                    <w:t>X</w:t>
                  </w:r>
                </w:p>
              </w:tc>
              <w:tc>
                <w:tcPr>
                  <w:tcW w:w="100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szCs w:val="21"/>
                    </w:rPr>
                  </w:pPr>
                  <w:r>
                    <w:rPr>
                      <w:color w:val="000000"/>
                      <w:szCs w:val="21"/>
                    </w:rPr>
                    <w:t>Y</w:t>
                  </w:r>
                </w:p>
              </w:tc>
              <w:tc>
                <w:tcPr>
                  <w:tcW w:w="60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szCs w:val="21"/>
                    </w:rPr>
                  </w:pPr>
                </w:p>
              </w:tc>
              <w:tc>
                <w:tcPr>
                  <w:tcW w:w="61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szCs w:val="21"/>
                    </w:rPr>
                  </w:pPr>
                </w:p>
              </w:tc>
              <w:tc>
                <w:tcPr>
                  <w:tcW w:w="1163"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szCs w:val="21"/>
                    </w:rPr>
                  </w:pPr>
                </w:p>
              </w:tc>
              <w:tc>
                <w:tcPr>
                  <w:tcW w:w="122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szCs w:val="21"/>
                    </w:rPr>
                  </w:pPr>
                </w:p>
              </w:tc>
              <w:tc>
                <w:tcPr>
                  <w:tcW w:w="1111"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szCs w:val="21"/>
                    </w:rPr>
                  </w:pPr>
                </w:p>
              </w:tc>
              <w:tc>
                <w:tcPr>
                  <w:tcW w:w="59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szCs w:val="21"/>
                    </w:rPr>
                  </w:pPr>
                </w:p>
              </w:tc>
              <w:tc>
                <w:tcPr>
                  <w:tcW w:w="540" w:type="dxa"/>
                  <w:vMerge w:val="continue"/>
                  <w:tcBorders>
                    <w:top w:val="single" w:color="auto" w:sz="4" w:space="0"/>
                    <w:left w:val="single" w:color="auto" w:sz="4" w:space="0"/>
                    <w:bottom w:val="single" w:color="auto" w:sz="4" w:space="0"/>
                  </w:tcBorders>
                  <w:vAlign w:val="center"/>
                </w:tcPr>
                <w:p>
                  <w:pPr>
                    <w:widowControl/>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35" w:type="dxa"/>
                  <w:tcBorders>
                    <w:top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人才公寓</w:t>
                  </w:r>
                </w:p>
              </w:tc>
              <w:tc>
                <w:tcPr>
                  <w:tcW w:w="899" w:type="dxa"/>
                  <w:tcBorders>
                    <w:top w:val="single" w:color="auto" w:sz="4" w:space="0"/>
                    <w:left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77.0255</w:t>
                  </w:r>
                </w:p>
              </w:tc>
              <w:tc>
                <w:tcPr>
                  <w:tcW w:w="1004" w:type="dxa"/>
                  <w:tcBorders>
                    <w:top w:val="single" w:color="auto" w:sz="4" w:space="0"/>
                    <w:left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35.87644</w:t>
                  </w:r>
                </w:p>
              </w:tc>
              <w:tc>
                <w:tcPr>
                  <w:tcW w:w="605" w:type="dxa"/>
                  <w:tcBorders>
                    <w:top w:val="single" w:color="auto" w:sz="4" w:space="0"/>
                    <w:left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非甲烷总烃</w:t>
                  </w:r>
                </w:p>
              </w:tc>
              <w:tc>
                <w:tcPr>
                  <w:tcW w:w="614" w:type="dxa"/>
                  <w:tcBorders>
                    <w:top w:val="single" w:color="auto" w:sz="4" w:space="0"/>
                    <w:left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小时平均浓度</w:t>
                  </w:r>
                </w:p>
              </w:tc>
              <w:tc>
                <w:tcPr>
                  <w:tcW w:w="1163" w:type="dxa"/>
                  <w:tcBorders>
                    <w:top w:val="single" w:color="auto" w:sz="4" w:space="0"/>
                    <w:left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2000</w:t>
                  </w:r>
                </w:p>
              </w:tc>
              <w:tc>
                <w:tcPr>
                  <w:tcW w:w="1220" w:type="dxa"/>
                  <w:tcBorders>
                    <w:top w:val="single" w:color="auto" w:sz="4" w:space="0"/>
                    <w:left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900-960</w:t>
                  </w:r>
                </w:p>
              </w:tc>
              <w:tc>
                <w:tcPr>
                  <w:tcW w:w="1111" w:type="dxa"/>
                  <w:tcBorders>
                    <w:top w:val="single" w:color="auto" w:sz="4" w:space="0"/>
                    <w:left w:val="single" w:color="auto" w:sz="4" w:space="0"/>
                    <w:bottom w:val="single" w:color="auto" w:sz="12" w:space="0"/>
                    <w:right w:val="single" w:color="auto" w:sz="4" w:space="0"/>
                  </w:tcBorders>
                  <w:vAlign w:val="center"/>
                </w:tcPr>
                <w:p>
                  <w:pPr>
                    <w:widowControl/>
                    <w:jc w:val="center"/>
                    <w:rPr>
                      <w:color w:val="000000"/>
                      <w:szCs w:val="21"/>
                    </w:rPr>
                  </w:pPr>
                  <w:r>
                    <w:rPr>
                      <w:rFonts w:hint="eastAsia"/>
                      <w:color w:val="000000"/>
                      <w:szCs w:val="21"/>
                    </w:rPr>
                    <w:t>48</w:t>
                  </w:r>
                </w:p>
              </w:tc>
              <w:tc>
                <w:tcPr>
                  <w:tcW w:w="598" w:type="dxa"/>
                  <w:tcBorders>
                    <w:top w:val="single" w:color="auto" w:sz="4" w:space="0"/>
                    <w:left w:val="single" w:color="auto" w:sz="4" w:space="0"/>
                    <w:bottom w:val="single" w:color="auto" w:sz="12" w:space="0"/>
                    <w:right w:val="single" w:color="auto" w:sz="4" w:space="0"/>
                  </w:tcBorders>
                  <w:vAlign w:val="center"/>
                </w:tcPr>
                <w:p>
                  <w:pPr>
                    <w:widowControl/>
                    <w:jc w:val="center"/>
                    <w:rPr>
                      <w:color w:val="000000"/>
                      <w:szCs w:val="21"/>
                    </w:rPr>
                  </w:pPr>
                  <w:r>
                    <w:rPr>
                      <w:color w:val="000000"/>
                      <w:szCs w:val="21"/>
                    </w:rPr>
                    <w:t>0</w:t>
                  </w:r>
                </w:p>
              </w:tc>
              <w:tc>
                <w:tcPr>
                  <w:tcW w:w="540" w:type="dxa"/>
                  <w:tcBorders>
                    <w:top w:val="single" w:color="auto" w:sz="4" w:space="0"/>
                    <w:left w:val="single" w:color="auto" w:sz="4" w:space="0"/>
                    <w:bottom w:val="single" w:color="auto" w:sz="12" w:space="0"/>
                  </w:tcBorders>
                  <w:vAlign w:val="center"/>
                </w:tcPr>
                <w:p>
                  <w:pPr>
                    <w:widowControl/>
                    <w:jc w:val="center"/>
                    <w:rPr>
                      <w:color w:val="000000"/>
                      <w:szCs w:val="21"/>
                    </w:rPr>
                  </w:pPr>
                  <w:r>
                    <w:rPr>
                      <w:rFonts w:hint="eastAsia"/>
                      <w:color w:val="000000"/>
                      <w:szCs w:val="21"/>
                    </w:rPr>
                    <w:t>达标</w:t>
                  </w:r>
                </w:p>
              </w:tc>
            </w:tr>
          </w:tbl>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kern w:val="0"/>
                <w:sz w:val="24"/>
              </w:rPr>
            </w:pPr>
            <w:r>
              <w:rPr>
                <w:rFonts w:hint="eastAsia"/>
                <w:kern w:val="0"/>
                <w:sz w:val="24"/>
              </w:rPr>
              <w:t>可见，本次评价所引用非甲烷总烃能达到《大气污染物综合排放标准详解》中非甲烷总烃推荐值要求。</w:t>
            </w:r>
          </w:p>
          <w:p>
            <w:pPr>
              <w:widowControl/>
              <w:autoSpaceDE w:val="0"/>
              <w:autoSpaceDN w:val="0"/>
              <w:adjustRightInd w:val="0"/>
              <w:snapToGrid w:val="0"/>
              <w:spacing w:line="500" w:lineRule="exact"/>
              <w:ind w:firstLine="482" w:firstLineChars="200"/>
              <w:jc w:val="left"/>
              <w:rPr>
                <w:b/>
                <w:kern w:val="0"/>
                <w:sz w:val="24"/>
              </w:rPr>
            </w:pPr>
            <w:r>
              <w:rPr>
                <w:b/>
                <w:kern w:val="0"/>
                <w:sz w:val="24"/>
              </w:rPr>
              <w:t>2</w:t>
            </w:r>
            <w:r>
              <w:rPr>
                <w:rFonts w:hint="eastAsia"/>
                <w:b/>
                <w:kern w:val="0"/>
                <w:sz w:val="24"/>
              </w:rPr>
              <w:t>、</w:t>
            </w:r>
            <w:r>
              <w:rPr>
                <w:b/>
                <w:kern w:val="0"/>
                <w:sz w:val="24"/>
              </w:rPr>
              <w:t>地表水环境质量现状</w:t>
            </w:r>
          </w:p>
          <w:p>
            <w:pPr>
              <w:pStyle w:val="16"/>
              <w:keepNext w:val="0"/>
              <w:keepLines w:val="0"/>
              <w:pageBreakBefore w:val="0"/>
              <w:widowControl/>
              <w:kinsoku/>
              <w:wordWrap/>
              <w:overflowPunct/>
              <w:topLinePunct w:val="0"/>
              <w:autoSpaceDE/>
              <w:autoSpaceDN/>
              <w:bidi w:val="0"/>
              <w:adjustRightInd/>
              <w:snapToGrid w:val="0"/>
              <w:spacing w:before="0" w:after="0" w:line="500" w:lineRule="exact"/>
              <w:ind w:right="0" w:firstLine="480" w:firstLineChars="200"/>
              <w:textAlignment w:val="auto"/>
              <w:rPr>
                <w:sz w:val="24"/>
                <w:szCs w:val="24"/>
              </w:rPr>
            </w:pPr>
            <w:r>
              <w:rPr>
                <w:rFonts w:hint="eastAsia"/>
                <w:sz w:val="24"/>
                <w:szCs w:val="24"/>
              </w:rPr>
              <w:t>根据本项目排污方案，运营期废水排入江苏港城污水处理有限公司集中处理，尾水最终排入长江。本次评价地表水环境质量监测数据引用《叁叁伍贰新能源有限公司年产3000吨汽车用搁物板、备胎盖板等内饰板项目环境影响报告书》中监测数据，其地表水环境质量调研监测断面见表3-5，监测时间为：2021年9月26日~28日，引用数据监测至今项目所在地地表水体质量状况变化不大，符合《建设项目环境影响报告表编制技术指南（污染影响类）（试行）》对地表水环境质量现状引用数据的要求，其监测结果见表</w:t>
            </w:r>
            <w:r>
              <w:rPr>
                <w:sz w:val="24"/>
                <w:szCs w:val="24"/>
              </w:rPr>
              <w:t>3-5</w:t>
            </w:r>
            <w:r>
              <w:rPr>
                <w:rFonts w:hint="eastAsia"/>
                <w:sz w:val="24"/>
                <w:szCs w:val="24"/>
              </w:rPr>
              <w:t>。</w:t>
            </w:r>
          </w:p>
          <w:p>
            <w:pPr>
              <w:spacing w:before="120" w:beforeLines="50"/>
              <w:jc w:val="center"/>
              <w:rPr>
                <w:rFonts w:hint="eastAsia"/>
                <w:b/>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20" w:beforeLines="50" w:after="157" w:afterLines="5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表3-4地表水监测断面位置</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227"/>
              <w:gridCol w:w="1023"/>
              <w:gridCol w:w="3866"/>
              <w:gridCol w:w="2275"/>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blHeader/>
                <w:jc w:val="center"/>
              </w:trPr>
              <w:tc>
                <w:tcPr>
                  <w:tcW w:w="1093"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断面编号</w:t>
                  </w:r>
                </w:p>
              </w:tc>
              <w:tc>
                <w:tcPr>
                  <w:tcW w:w="911"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河流名称</w:t>
                  </w:r>
                </w:p>
              </w:tc>
              <w:tc>
                <w:tcPr>
                  <w:tcW w:w="3444"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监测断面</w:t>
                  </w:r>
                </w:p>
              </w:tc>
              <w:tc>
                <w:tcPr>
                  <w:tcW w:w="2027" w:type="dxa"/>
                  <w:vAlign w:val="center"/>
                </w:tcPr>
                <w:p>
                  <w:pPr>
                    <w:pStyle w:val="87"/>
                    <w:adjustRightInd w:val="0"/>
                    <w:snapToGrid w:val="0"/>
                    <w:rPr>
                      <w:b/>
                      <w:bCs/>
                      <w:color w:val="000000" w:themeColor="text1"/>
                      <w:szCs w:val="21"/>
                      <w14:textFill>
                        <w14:solidFill>
                          <w14:schemeClr w14:val="tx1"/>
                        </w14:solidFill>
                      </w14:textFill>
                    </w:rPr>
                  </w:pPr>
                  <w:r>
                    <w:rPr>
                      <w:b/>
                      <w:bCs/>
                      <w:color w:val="000000" w:themeColor="text1"/>
                      <w:kern w:val="2"/>
                      <w:szCs w:val="21"/>
                      <w14:textFill>
                        <w14:solidFill>
                          <w14:schemeClr w14:val="tx1"/>
                        </w14:solidFill>
                      </w14:textFill>
                    </w:rPr>
                    <w:t>监测项目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1093"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W1</w:t>
                  </w:r>
                </w:p>
              </w:tc>
              <w:tc>
                <w:tcPr>
                  <w:tcW w:w="911" w:type="dxa"/>
                  <w:vMerge w:val="restar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长江</w:t>
                  </w:r>
                </w:p>
              </w:tc>
              <w:tc>
                <w:tcPr>
                  <w:tcW w:w="3444"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古马干河河口</w:t>
                  </w:r>
                </w:p>
              </w:tc>
              <w:tc>
                <w:tcPr>
                  <w:tcW w:w="2027" w:type="dxa"/>
                  <w:vMerge w:val="restart"/>
                  <w:vAlign w:val="center"/>
                </w:tcPr>
                <w:p>
                  <w:pPr>
                    <w:pStyle w:val="87"/>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pH、高锰酸盐指数、COD、氨氮、BOD</w:t>
                  </w:r>
                  <w:r>
                    <w:rPr>
                      <w:color w:val="000000" w:themeColor="text1"/>
                      <w:szCs w:val="21"/>
                      <w:vertAlign w:val="subscript"/>
                      <w14:textFill>
                        <w14:solidFill>
                          <w14:schemeClr w14:val="tx1"/>
                        </w14:solidFill>
                      </w14:textFill>
                    </w:rPr>
                    <w:t>5</w:t>
                  </w:r>
                  <w:r>
                    <w:rPr>
                      <w:color w:val="000000" w:themeColor="text1"/>
                      <w:szCs w:val="21"/>
                      <w14:textFill>
                        <w14:solidFill>
                          <w14:schemeClr w14:val="tx1"/>
                        </w14:solidFill>
                      </w14:textFill>
                    </w:rPr>
                    <w:t>、总磷、石油类</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1093"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W2</w:t>
                  </w:r>
                </w:p>
              </w:tc>
              <w:tc>
                <w:tcPr>
                  <w:tcW w:w="911" w:type="dxa"/>
                  <w:vMerge w:val="continue"/>
                  <w:vAlign w:val="center"/>
                </w:tcPr>
                <w:p>
                  <w:pPr>
                    <w:adjustRightInd w:val="0"/>
                    <w:snapToGrid w:val="0"/>
                    <w:jc w:val="center"/>
                    <w:rPr>
                      <w:color w:val="000000" w:themeColor="text1"/>
                      <w:szCs w:val="21"/>
                      <w14:textFill>
                        <w14:solidFill>
                          <w14:schemeClr w14:val="tx1"/>
                        </w14:solidFill>
                      </w14:textFill>
                    </w:rPr>
                  </w:pPr>
                </w:p>
              </w:tc>
              <w:tc>
                <w:tcPr>
                  <w:tcW w:w="3444" w:type="dxa"/>
                  <w:vAlign w:val="center"/>
                </w:tcPr>
                <w:p>
                  <w:pPr>
                    <w:pStyle w:val="9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江苏港城污水处理厂尾水入江口</w:t>
                  </w:r>
                </w:p>
              </w:tc>
              <w:tc>
                <w:tcPr>
                  <w:tcW w:w="2027" w:type="dxa"/>
                  <w:vMerge w:val="continue"/>
                  <w:vAlign w:val="center"/>
                </w:tcPr>
                <w:p>
                  <w:pPr>
                    <w:pStyle w:val="88"/>
                    <w:adjustRightInd w:val="0"/>
                    <w:snapToGrid w:val="0"/>
                    <w:spacing w:line="240" w:lineRule="auto"/>
                    <w:ind w:firstLine="0"/>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1093"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W3</w:t>
                  </w:r>
                </w:p>
              </w:tc>
              <w:tc>
                <w:tcPr>
                  <w:tcW w:w="911" w:type="dxa"/>
                  <w:vMerge w:val="continue"/>
                  <w:vAlign w:val="center"/>
                </w:tcPr>
                <w:p>
                  <w:pPr>
                    <w:adjustRightInd w:val="0"/>
                    <w:snapToGrid w:val="0"/>
                    <w:jc w:val="center"/>
                    <w:rPr>
                      <w:color w:val="000000" w:themeColor="text1"/>
                      <w:szCs w:val="21"/>
                      <w14:textFill>
                        <w14:solidFill>
                          <w14:schemeClr w14:val="tx1"/>
                        </w14:solidFill>
                      </w14:textFill>
                    </w:rPr>
                  </w:pPr>
                </w:p>
              </w:tc>
              <w:tc>
                <w:tcPr>
                  <w:tcW w:w="3444" w:type="dxa"/>
                  <w:vAlign w:val="center"/>
                </w:tcPr>
                <w:p>
                  <w:pPr>
                    <w:pStyle w:val="9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江苏港城污水处理厂尾水入江口下游3000m</w:t>
                  </w:r>
                </w:p>
              </w:tc>
              <w:tc>
                <w:tcPr>
                  <w:tcW w:w="2027" w:type="dxa"/>
                  <w:vMerge w:val="continue"/>
                  <w:vAlign w:val="center"/>
                </w:tcPr>
                <w:p>
                  <w:pPr>
                    <w:pStyle w:val="88"/>
                    <w:adjustRightInd w:val="0"/>
                    <w:snapToGrid w:val="0"/>
                    <w:spacing w:line="240" w:lineRule="auto"/>
                    <w:ind w:firstLine="0"/>
                    <w:jc w:val="center"/>
                    <w:rPr>
                      <w:rFonts w:ascii="Times New Roman" w:hAnsi="Times New Roman"/>
                      <w:color w:val="000000" w:themeColor="text1"/>
                      <w:sz w:val="21"/>
                      <w:szCs w:val="21"/>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before="120" w:beforeLines="50" w:after="157" w:afterLines="5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表3-5地表水环境质量现状监测数据表单位：mg/L</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7"/>
              <w:gridCol w:w="1609"/>
              <w:gridCol w:w="994"/>
              <w:gridCol w:w="878"/>
              <w:gridCol w:w="1038"/>
              <w:gridCol w:w="854"/>
              <w:gridCol w:w="877"/>
              <w:gridCol w:w="877"/>
              <w:gridCol w:w="7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236" w:type="pct"/>
                  <w:gridSpan w:val="2"/>
                  <w:vMerge w:val="restart"/>
                  <w:tcBorders>
                    <w:top w:val="single" w:color="auto" w:sz="12" w:space="0"/>
                    <w:left w:val="nil"/>
                    <w:bottom w:val="single" w:color="auto" w:sz="4" w:space="0"/>
                    <w:right w:val="single" w:color="auto" w:sz="4" w:space="0"/>
                  </w:tcBorders>
                  <w:vAlign w:val="center"/>
                </w:tcPr>
                <w:p>
                  <w:pPr>
                    <w:pStyle w:val="94"/>
                    <w:rPr>
                      <w:b/>
                      <w:bCs/>
                      <w:sz w:val="21"/>
                      <w:szCs w:val="21"/>
                    </w:rPr>
                  </w:pPr>
                  <w:r>
                    <w:rPr>
                      <w:b/>
                      <w:bCs/>
                      <w:sz w:val="21"/>
                      <w:szCs w:val="21"/>
                    </w:rPr>
                    <w:t>断面编号</w:t>
                  </w:r>
                </w:p>
              </w:tc>
              <w:tc>
                <w:tcPr>
                  <w:tcW w:w="3550" w:type="pct"/>
                  <w:gridSpan w:val="7"/>
                  <w:tcBorders>
                    <w:top w:val="single" w:color="auto" w:sz="12" w:space="0"/>
                    <w:left w:val="single" w:color="auto" w:sz="4" w:space="0"/>
                    <w:bottom w:val="single" w:color="auto" w:sz="4" w:space="0"/>
                    <w:right w:val="nil"/>
                  </w:tcBorders>
                  <w:vAlign w:val="center"/>
                </w:tcPr>
                <w:p>
                  <w:pPr>
                    <w:pStyle w:val="94"/>
                    <w:rPr>
                      <w:b/>
                      <w:bCs/>
                      <w:sz w:val="21"/>
                      <w:szCs w:val="21"/>
                    </w:rPr>
                  </w:pPr>
                  <w:r>
                    <w:rPr>
                      <w:b/>
                      <w:bCs/>
                      <w:sz w:val="21"/>
                      <w:szCs w:val="21"/>
                    </w:rPr>
                    <w:t>统计指标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236" w:type="pct"/>
                  <w:gridSpan w:val="2"/>
                  <w:vMerge w:val="continue"/>
                  <w:tcBorders>
                    <w:top w:val="single" w:color="auto" w:sz="12" w:space="0"/>
                    <w:left w:val="nil"/>
                    <w:bottom w:val="single" w:color="auto" w:sz="4" w:space="0"/>
                    <w:right w:val="single" w:color="auto" w:sz="4" w:space="0"/>
                  </w:tcBorders>
                  <w:vAlign w:val="center"/>
                </w:tcPr>
                <w:p>
                  <w:pPr>
                    <w:pStyle w:val="94"/>
                    <w:rPr>
                      <w:b/>
                      <w:bCs/>
                      <w:sz w:val="21"/>
                      <w:szCs w:val="21"/>
                    </w:rPr>
                  </w:pPr>
                </w:p>
              </w:tc>
              <w:tc>
                <w:tcPr>
                  <w:tcW w:w="567" w:type="pct"/>
                  <w:tcBorders>
                    <w:top w:val="single" w:color="auto" w:sz="4" w:space="0"/>
                    <w:left w:val="single" w:color="auto" w:sz="4" w:space="0"/>
                    <w:bottom w:val="single" w:color="auto" w:sz="4" w:space="0"/>
                    <w:right w:val="single" w:color="auto" w:sz="4" w:space="0"/>
                  </w:tcBorders>
                  <w:vAlign w:val="center"/>
                </w:tcPr>
                <w:p>
                  <w:pPr>
                    <w:pStyle w:val="94"/>
                    <w:rPr>
                      <w:b/>
                      <w:bCs/>
                      <w:sz w:val="21"/>
                      <w:szCs w:val="21"/>
                    </w:rPr>
                  </w:pPr>
                  <w:r>
                    <w:rPr>
                      <w:b/>
                      <w:bCs/>
                      <w:sz w:val="21"/>
                      <w:szCs w:val="21"/>
                    </w:rPr>
                    <w:t>pH值</w:t>
                  </w:r>
                </w:p>
              </w:tc>
              <w:tc>
                <w:tcPr>
                  <w:tcW w:w="501" w:type="pct"/>
                  <w:tcBorders>
                    <w:top w:val="single" w:color="auto" w:sz="4" w:space="0"/>
                    <w:left w:val="single" w:color="auto" w:sz="4" w:space="0"/>
                    <w:bottom w:val="single" w:color="auto" w:sz="4" w:space="0"/>
                    <w:right w:val="single" w:color="auto" w:sz="4" w:space="0"/>
                  </w:tcBorders>
                  <w:vAlign w:val="center"/>
                </w:tcPr>
                <w:p>
                  <w:pPr>
                    <w:pStyle w:val="94"/>
                    <w:rPr>
                      <w:b/>
                      <w:bCs/>
                      <w:sz w:val="21"/>
                      <w:szCs w:val="21"/>
                    </w:rPr>
                  </w:pPr>
                  <w:r>
                    <w:rPr>
                      <w:b/>
                      <w:bCs/>
                      <w:sz w:val="21"/>
                      <w:szCs w:val="21"/>
                    </w:rPr>
                    <w:t>化学需氧量</w:t>
                  </w:r>
                </w:p>
              </w:tc>
              <w:tc>
                <w:tcPr>
                  <w:tcW w:w="592" w:type="pct"/>
                  <w:tcBorders>
                    <w:top w:val="single" w:color="auto" w:sz="4" w:space="0"/>
                    <w:left w:val="single" w:color="auto" w:sz="4" w:space="0"/>
                    <w:bottom w:val="single" w:color="auto" w:sz="4" w:space="0"/>
                    <w:right w:val="single" w:color="auto" w:sz="4" w:space="0"/>
                  </w:tcBorders>
                  <w:vAlign w:val="center"/>
                </w:tcPr>
                <w:p>
                  <w:pPr>
                    <w:pStyle w:val="94"/>
                    <w:rPr>
                      <w:b/>
                      <w:bCs/>
                      <w:sz w:val="21"/>
                      <w:szCs w:val="21"/>
                    </w:rPr>
                  </w:pPr>
                  <w:r>
                    <w:rPr>
                      <w:b/>
                      <w:bCs/>
                      <w:sz w:val="21"/>
                      <w:szCs w:val="21"/>
                    </w:rPr>
                    <w:t>五日生化需氧量</w:t>
                  </w:r>
                </w:p>
              </w:tc>
              <w:tc>
                <w:tcPr>
                  <w:tcW w:w="487" w:type="pct"/>
                  <w:tcBorders>
                    <w:top w:val="single" w:color="auto" w:sz="4" w:space="0"/>
                    <w:left w:val="single" w:color="auto" w:sz="4" w:space="0"/>
                    <w:bottom w:val="single" w:color="auto" w:sz="4" w:space="0"/>
                    <w:right w:val="single" w:color="auto" w:sz="4" w:space="0"/>
                  </w:tcBorders>
                  <w:vAlign w:val="center"/>
                </w:tcPr>
                <w:p>
                  <w:pPr>
                    <w:pStyle w:val="94"/>
                    <w:rPr>
                      <w:b/>
                      <w:bCs/>
                      <w:sz w:val="21"/>
                      <w:szCs w:val="21"/>
                    </w:rPr>
                  </w:pPr>
                  <w:r>
                    <w:rPr>
                      <w:b/>
                      <w:bCs/>
                      <w:sz w:val="21"/>
                      <w:szCs w:val="21"/>
                    </w:rPr>
                    <w:t>高锰酸盐指数</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b/>
                      <w:bCs/>
                      <w:sz w:val="21"/>
                      <w:szCs w:val="21"/>
                    </w:rPr>
                  </w:pPr>
                  <w:r>
                    <w:rPr>
                      <w:b/>
                      <w:bCs/>
                      <w:sz w:val="21"/>
                      <w:szCs w:val="21"/>
                    </w:rPr>
                    <w:t>氨氮</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b/>
                      <w:bCs/>
                      <w:sz w:val="21"/>
                      <w:szCs w:val="21"/>
                    </w:rPr>
                  </w:pPr>
                  <w:r>
                    <w:rPr>
                      <w:b/>
                      <w:bCs/>
                      <w:sz w:val="21"/>
                      <w:szCs w:val="21"/>
                    </w:rPr>
                    <w:t>总磷</w:t>
                  </w:r>
                </w:p>
              </w:tc>
              <w:tc>
                <w:tcPr>
                  <w:tcW w:w="399" w:type="pct"/>
                  <w:tcBorders>
                    <w:top w:val="single" w:color="auto" w:sz="4" w:space="0"/>
                    <w:left w:val="single" w:color="auto" w:sz="4" w:space="0"/>
                    <w:bottom w:val="single" w:color="auto" w:sz="4" w:space="0"/>
                    <w:right w:val="nil"/>
                  </w:tcBorders>
                  <w:vAlign w:val="center"/>
                </w:tcPr>
                <w:p>
                  <w:pPr>
                    <w:pStyle w:val="94"/>
                    <w:rPr>
                      <w:b/>
                      <w:bCs/>
                      <w:sz w:val="21"/>
                      <w:szCs w:val="21"/>
                    </w:rPr>
                  </w:pPr>
                  <w:r>
                    <w:rPr>
                      <w:b/>
                      <w:bCs/>
                      <w:sz w:val="21"/>
                      <w:szCs w:val="21"/>
                    </w:rPr>
                    <w:t>石油类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18" w:type="pct"/>
                  <w:vMerge w:val="restart"/>
                  <w:tcBorders>
                    <w:top w:val="single" w:color="auto" w:sz="4" w:space="0"/>
                    <w:left w:val="nil"/>
                    <w:bottom w:val="single" w:color="auto" w:sz="4" w:space="0"/>
                    <w:right w:val="single" w:color="auto" w:sz="4" w:space="0"/>
                  </w:tcBorders>
                  <w:vAlign w:val="center"/>
                </w:tcPr>
                <w:p>
                  <w:pPr>
                    <w:pStyle w:val="94"/>
                    <w:rPr>
                      <w:sz w:val="21"/>
                      <w:szCs w:val="21"/>
                    </w:rPr>
                  </w:pPr>
                  <w:r>
                    <w:rPr>
                      <w:sz w:val="21"/>
                      <w:szCs w:val="21"/>
                    </w:rPr>
                    <w:t>W1</w:t>
                  </w:r>
                </w:p>
              </w:tc>
              <w:tc>
                <w:tcPr>
                  <w:tcW w:w="91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浓度监测值</w:t>
                  </w:r>
                </w:p>
              </w:tc>
              <w:tc>
                <w:tcPr>
                  <w:tcW w:w="56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7.11-7.17</w:t>
                  </w:r>
                </w:p>
              </w:tc>
              <w:tc>
                <w:tcPr>
                  <w:tcW w:w="501"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11-12</w:t>
                  </w:r>
                </w:p>
              </w:tc>
              <w:tc>
                <w:tcPr>
                  <w:tcW w:w="592"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2.1-2.4</w:t>
                  </w:r>
                </w:p>
              </w:tc>
              <w:tc>
                <w:tcPr>
                  <w:tcW w:w="48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3.1-3.4</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0.4-0.444</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0.07-0.08</w:t>
                  </w:r>
                </w:p>
              </w:tc>
              <w:tc>
                <w:tcPr>
                  <w:tcW w:w="399" w:type="pct"/>
                  <w:tcBorders>
                    <w:top w:val="single" w:color="auto" w:sz="4" w:space="0"/>
                    <w:left w:val="single" w:color="auto" w:sz="4" w:space="0"/>
                    <w:bottom w:val="single" w:color="auto" w:sz="4" w:space="0"/>
                    <w:right w:val="nil"/>
                  </w:tcBorders>
                  <w:vAlign w:val="center"/>
                </w:tcPr>
                <w:p>
                  <w:pPr>
                    <w:pStyle w:val="94"/>
                    <w:rPr>
                      <w:sz w:val="21"/>
                      <w:szCs w:val="21"/>
                    </w:rPr>
                  </w:pPr>
                  <w:r>
                    <w:rPr>
                      <w:sz w:val="21"/>
                      <w:szCs w:val="21"/>
                    </w:rPr>
                    <w:t>未检出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18" w:type="pct"/>
                  <w:vMerge w:val="continue"/>
                  <w:tcBorders>
                    <w:top w:val="single" w:color="auto" w:sz="4" w:space="0"/>
                    <w:left w:val="nil"/>
                    <w:bottom w:val="single" w:color="auto" w:sz="4" w:space="0"/>
                    <w:right w:val="single" w:color="auto" w:sz="4" w:space="0"/>
                  </w:tcBorders>
                  <w:vAlign w:val="center"/>
                </w:tcPr>
                <w:p>
                  <w:pPr>
                    <w:pStyle w:val="94"/>
                    <w:rPr>
                      <w:kern w:val="0"/>
                      <w:sz w:val="21"/>
                      <w:szCs w:val="21"/>
                    </w:rPr>
                  </w:pPr>
                </w:p>
              </w:tc>
              <w:tc>
                <w:tcPr>
                  <w:tcW w:w="91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标准值</w:t>
                  </w:r>
                </w:p>
              </w:tc>
              <w:tc>
                <w:tcPr>
                  <w:tcW w:w="56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6-9</w:t>
                  </w:r>
                </w:p>
              </w:tc>
              <w:tc>
                <w:tcPr>
                  <w:tcW w:w="501"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15</w:t>
                  </w:r>
                </w:p>
              </w:tc>
              <w:tc>
                <w:tcPr>
                  <w:tcW w:w="592"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3.0</w:t>
                  </w:r>
                </w:p>
              </w:tc>
              <w:tc>
                <w:tcPr>
                  <w:tcW w:w="48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4.0</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0.5</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0.1</w:t>
                  </w:r>
                </w:p>
              </w:tc>
              <w:tc>
                <w:tcPr>
                  <w:tcW w:w="399" w:type="pct"/>
                  <w:tcBorders>
                    <w:top w:val="single" w:color="auto" w:sz="4" w:space="0"/>
                    <w:left w:val="single" w:color="auto" w:sz="4" w:space="0"/>
                    <w:bottom w:val="single" w:color="auto" w:sz="4" w:space="0"/>
                    <w:right w:val="nil"/>
                  </w:tcBorders>
                  <w:vAlign w:val="center"/>
                </w:tcPr>
                <w:p>
                  <w:pPr>
                    <w:pStyle w:val="94"/>
                    <w:rPr>
                      <w:sz w:val="21"/>
                      <w:szCs w:val="21"/>
                    </w:rPr>
                  </w:pPr>
                  <w:r>
                    <w:rPr>
                      <w:sz w:val="21"/>
                      <w:szCs w:val="21"/>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18" w:type="pct"/>
                  <w:vMerge w:val="continue"/>
                  <w:tcBorders>
                    <w:top w:val="single" w:color="auto" w:sz="4" w:space="0"/>
                    <w:left w:val="nil"/>
                    <w:bottom w:val="single" w:color="auto" w:sz="4" w:space="0"/>
                    <w:right w:val="single" w:color="auto" w:sz="4" w:space="0"/>
                  </w:tcBorders>
                  <w:vAlign w:val="center"/>
                </w:tcPr>
                <w:p>
                  <w:pPr>
                    <w:pStyle w:val="94"/>
                    <w:rPr>
                      <w:kern w:val="0"/>
                      <w:sz w:val="21"/>
                      <w:szCs w:val="21"/>
                    </w:rPr>
                  </w:pPr>
                </w:p>
              </w:tc>
              <w:tc>
                <w:tcPr>
                  <w:tcW w:w="91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最大水质指数</w:t>
                  </w:r>
                </w:p>
              </w:tc>
              <w:tc>
                <w:tcPr>
                  <w:tcW w:w="56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0.085</w:t>
                  </w:r>
                </w:p>
              </w:tc>
              <w:tc>
                <w:tcPr>
                  <w:tcW w:w="501"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0.8</w:t>
                  </w:r>
                </w:p>
              </w:tc>
              <w:tc>
                <w:tcPr>
                  <w:tcW w:w="592"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0.8</w:t>
                  </w:r>
                </w:p>
              </w:tc>
              <w:tc>
                <w:tcPr>
                  <w:tcW w:w="48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0.85</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0.888</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0.8</w:t>
                  </w:r>
                </w:p>
              </w:tc>
              <w:tc>
                <w:tcPr>
                  <w:tcW w:w="399" w:type="pct"/>
                  <w:tcBorders>
                    <w:top w:val="single" w:color="auto" w:sz="4" w:space="0"/>
                    <w:left w:val="single" w:color="auto" w:sz="4" w:space="0"/>
                    <w:bottom w:val="single" w:color="auto" w:sz="4" w:space="0"/>
                    <w:right w:val="nil"/>
                  </w:tcBorders>
                  <w:vAlign w:val="center"/>
                </w:tcPr>
                <w:p>
                  <w:pPr>
                    <w:pStyle w:val="94"/>
                    <w:rPr>
                      <w:sz w:val="21"/>
                      <w:szCs w:val="21"/>
                    </w:rPr>
                  </w:pPr>
                  <w:r>
                    <w:rPr>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18" w:type="pct"/>
                  <w:vMerge w:val="restart"/>
                  <w:tcBorders>
                    <w:top w:val="single" w:color="auto" w:sz="4" w:space="0"/>
                    <w:left w:val="nil"/>
                    <w:bottom w:val="single" w:color="auto" w:sz="4" w:space="0"/>
                    <w:right w:val="single" w:color="auto" w:sz="4" w:space="0"/>
                  </w:tcBorders>
                  <w:vAlign w:val="center"/>
                </w:tcPr>
                <w:p>
                  <w:pPr>
                    <w:pStyle w:val="94"/>
                    <w:rPr>
                      <w:sz w:val="21"/>
                      <w:szCs w:val="21"/>
                    </w:rPr>
                  </w:pPr>
                  <w:r>
                    <w:rPr>
                      <w:sz w:val="21"/>
                      <w:szCs w:val="21"/>
                    </w:rPr>
                    <w:t>W2</w:t>
                  </w:r>
                </w:p>
              </w:tc>
              <w:tc>
                <w:tcPr>
                  <w:tcW w:w="91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浓度监测值</w:t>
                  </w:r>
                </w:p>
              </w:tc>
              <w:tc>
                <w:tcPr>
                  <w:tcW w:w="56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7.12-7.16</w:t>
                  </w:r>
                </w:p>
              </w:tc>
              <w:tc>
                <w:tcPr>
                  <w:tcW w:w="501"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13-14</w:t>
                  </w:r>
                </w:p>
              </w:tc>
              <w:tc>
                <w:tcPr>
                  <w:tcW w:w="592"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2.4-2.8</w:t>
                  </w:r>
                </w:p>
              </w:tc>
              <w:tc>
                <w:tcPr>
                  <w:tcW w:w="48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3.4-3.7</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0.436-0.488</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0.08-0.09</w:t>
                  </w:r>
                </w:p>
              </w:tc>
              <w:tc>
                <w:tcPr>
                  <w:tcW w:w="399" w:type="pct"/>
                  <w:tcBorders>
                    <w:top w:val="single" w:color="auto" w:sz="4" w:space="0"/>
                    <w:left w:val="single" w:color="auto" w:sz="4" w:space="0"/>
                    <w:bottom w:val="single" w:color="auto" w:sz="4" w:space="0"/>
                    <w:right w:val="nil"/>
                  </w:tcBorders>
                  <w:vAlign w:val="center"/>
                </w:tcPr>
                <w:p>
                  <w:pPr>
                    <w:pStyle w:val="94"/>
                    <w:rPr>
                      <w:sz w:val="21"/>
                      <w:szCs w:val="21"/>
                    </w:rPr>
                  </w:pPr>
                  <w:r>
                    <w:rPr>
                      <w:sz w:val="21"/>
                      <w:szCs w:val="21"/>
                    </w:rPr>
                    <w:t>未检出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18" w:type="pct"/>
                  <w:vMerge w:val="continue"/>
                  <w:tcBorders>
                    <w:top w:val="single" w:color="auto" w:sz="4" w:space="0"/>
                    <w:left w:val="nil"/>
                    <w:bottom w:val="single" w:color="auto" w:sz="4" w:space="0"/>
                    <w:right w:val="single" w:color="auto" w:sz="4" w:space="0"/>
                  </w:tcBorders>
                  <w:vAlign w:val="center"/>
                </w:tcPr>
                <w:p>
                  <w:pPr>
                    <w:pStyle w:val="94"/>
                    <w:rPr>
                      <w:kern w:val="0"/>
                      <w:sz w:val="21"/>
                      <w:szCs w:val="21"/>
                    </w:rPr>
                  </w:pPr>
                </w:p>
              </w:tc>
              <w:tc>
                <w:tcPr>
                  <w:tcW w:w="91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标准值</w:t>
                  </w:r>
                </w:p>
              </w:tc>
              <w:tc>
                <w:tcPr>
                  <w:tcW w:w="56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6-9</w:t>
                  </w:r>
                </w:p>
              </w:tc>
              <w:tc>
                <w:tcPr>
                  <w:tcW w:w="501"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15</w:t>
                  </w:r>
                </w:p>
              </w:tc>
              <w:tc>
                <w:tcPr>
                  <w:tcW w:w="592"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3.0</w:t>
                  </w:r>
                </w:p>
              </w:tc>
              <w:tc>
                <w:tcPr>
                  <w:tcW w:w="48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4.0</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0.5</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0.1</w:t>
                  </w:r>
                </w:p>
              </w:tc>
              <w:tc>
                <w:tcPr>
                  <w:tcW w:w="399" w:type="pct"/>
                  <w:tcBorders>
                    <w:top w:val="single" w:color="auto" w:sz="4" w:space="0"/>
                    <w:left w:val="single" w:color="auto" w:sz="4" w:space="0"/>
                    <w:bottom w:val="single" w:color="auto" w:sz="4" w:space="0"/>
                    <w:right w:val="nil"/>
                  </w:tcBorders>
                  <w:vAlign w:val="center"/>
                </w:tcPr>
                <w:p>
                  <w:pPr>
                    <w:pStyle w:val="94"/>
                    <w:rPr>
                      <w:sz w:val="21"/>
                      <w:szCs w:val="21"/>
                    </w:rPr>
                  </w:pPr>
                  <w:r>
                    <w:rPr>
                      <w:sz w:val="21"/>
                      <w:szCs w:val="21"/>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18" w:type="pct"/>
                  <w:vMerge w:val="continue"/>
                  <w:tcBorders>
                    <w:top w:val="single" w:color="auto" w:sz="4" w:space="0"/>
                    <w:left w:val="nil"/>
                    <w:bottom w:val="single" w:color="auto" w:sz="4" w:space="0"/>
                    <w:right w:val="single" w:color="auto" w:sz="4" w:space="0"/>
                  </w:tcBorders>
                  <w:vAlign w:val="center"/>
                </w:tcPr>
                <w:p>
                  <w:pPr>
                    <w:pStyle w:val="94"/>
                    <w:rPr>
                      <w:kern w:val="0"/>
                      <w:sz w:val="21"/>
                      <w:szCs w:val="21"/>
                    </w:rPr>
                  </w:pPr>
                </w:p>
              </w:tc>
              <w:tc>
                <w:tcPr>
                  <w:tcW w:w="91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最大水质指数</w:t>
                  </w:r>
                </w:p>
              </w:tc>
              <w:tc>
                <w:tcPr>
                  <w:tcW w:w="56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0.08</w:t>
                  </w:r>
                </w:p>
              </w:tc>
              <w:tc>
                <w:tcPr>
                  <w:tcW w:w="501"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0.93</w:t>
                  </w:r>
                </w:p>
              </w:tc>
              <w:tc>
                <w:tcPr>
                  <w:tcW w:w="592"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0.93</w:t>
                  </w:r>
                </w:p>
              </w:tc>
              <w:tc>
                <w:tcPr>
                  <w:tcW w:w="48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0.925</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0.976</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0.9</w:t>
                  </w:r>
                </w:p>
              </w:tc>
              <w:tc>
                <w:tcPr>
                  <w:tcW w:w="399" w:type="pct"/>
                  <w:tcBorders>
                    <w:top w:val="single" w:color="auto" w:sz="4" w:space="0"/>
                    <w:left w:val="single" w:color="auto" w:sz="4" w:space="0"/>
                    <w:bottom w:val="single" w:color="auto" w:sz="4" w:space="0"/>
                    <w:right w:val="nil"/>
                  </w:tcBorders>
                  <w:vAlign w:val="center"/>
                </w:tcPr>
                <w:p>
                  <w:pPr>
                    <w:pStyle w:val="94"/>
                    <w:rPr>
                      <w:sz w:val="21"/>
                      <w:szCs w:val="21"/>
                    </w:rPr>
                  </w:pPr>
                  <w:r>
                    <w:rPr>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18" w:type="pct"/>
                  <w:vMerge w:val="restart"/>
                  <w:tcBorders>
                    <w:top w:val="single" w:color="auto" w:sz="4" w:space="0"/>
                    <w:left w:val="nil"/>
                    <w:bottom w:val="single" w:color="auto" w:sz="4" w:space="0"/>
                    <w:right w:val="single" w:color="auto" w:sz="4" w:space="0"/>
                  </w:tcBorders>
                  <w:vAlign w:val="center"/>
                </w:tcPr>
                <w:p>
                  <w:pPr>
                    <w:pStyle w:val="94"/>
                    <w:rPr>
                      <w:sz w:val="21"/>
                      <w:szCs w:val="21"/>
                    </w:rPr>
                  </w:pPr>
                  <w:r>
                    <w:rPr>
                      <w:sz w:val="21"/>
                      <w:szCs w:val="21"/>
                    </w:rPr>
                    <w:t>W3</w:t>
                  </w:r>
                </w:p>
              </w:tc>
              <w:tc>
                <w:tcPr>
                  <w:tcW w:w="91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浓度监测值</w:t>
                  </w:r>
                </w:p>
              </w:tc>
              <w:tc>
                <w:tcPr>
                  <w:tcW w:w="56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7.13-7.17</w:t>
                  </w:r>
                </w:p>
              </w:tc>
              <w:tc>
                <w:tcPr>
                  <w:tcW w:w="501"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11-12</w:t>
                  </w:r>
                </w:p>
              </w:tc>
              <w:tc>
                <w:tcPr>
                  <w:tcW w:w="592"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2.1-2.4</w:t>
                  </w:r>
                </w:p>
              </w:tc>
              <w:tc>
                <w:tcPr>
                  <w:tcW w:w="48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3.2-3.4</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0.452-0.488</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0.07-0.08</w:t>
                  </w:r>
                </w:p>
              </w:tc>
              <w:tc>
                <w:tcPr>
                  <w:tcW w:w="399" w:type="pct"/>
                  <w:tcBorders>
                    <w:top w:val="single" w:color="auto" w:sz="4" w:space="0"/>
                    <w:left w:val="single" w:color="auto" w:sz="4" w:space="0"/>
                    <w:bottom w:val="single" w:color="auto" w:sz="4" w:space="0"/>
                    <w:right w:val="nil"/>
                  </w:tcBorders>
                  <w:vAlign w:val="center"/>
                </w:tcPr>
                <w:p>
                  <w:pPr>
                    <w:pStyle w:val="94"/>
                    <w:rPr>
                      <w:sz w:val="21"/>
                      <w:szCs w:val="21"/>
                    </w:rPr>
                  </w:pPr>
                  <w:r>
                    <w:rPr>
                      <w:sz w:val="21"/>
                      <w:szCs w:val="21"/>
                    </w:rPr>
                    <w:t>未检出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18" w:type="pct"/>
                  <w:vMerge w:val="continue"/>
                  <w:tcBorders>
                    <w:top w:val="single" w:color="auto" w:sz="4" w:space="0"/>
                    <w:left w:val="nil"/>
                    <w:bottom w:val="single" w:color="auto" w:sz="4" w:space="0"/>
                    <w:right w:val="single" w:color="auto" w:sz="4" w:space="0"/>
                  </w:tcBorders>
                  <w:vAlign w:val="center"/>
                </w:tcPr>
                <w:p>
                  <w:pPr>
                    <w:pStyle w:val="94"/>
                    <w:rPr>
                      <w:kern w:val="0"/>
                      <w:sz w:val="21"/>
                      <w:szCs w:val="21"/>
                    </w:rPr>
                  </w:pPr>
                </w:p>
              </w:tc>
              <w:tc>
                <w:tcPr>
                  <w:tcW w:w="91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标准值</w:t>
                  </w:r>
                </w:p>
              </w:tc>
              <w:tc>
                <w:tcPr>
                  <w:tcW w:w="56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6-9</w:t>
                  </w:r>
                </w:p>
              </w:tc>
              <w:tc>
                <w:tcPr>
                  <w:tcW w:w="501"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15</w:t>
                  </w:r>
                </w:p>
              </w:tc>
              <w:tc>
                <w:tcPr>
                  <w:tcW w:w="592"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3.0</w:t>
                  </w:r>
                </w:p>
              </w:tc>
              <w:tc>
                <w:tcPr>
                  <w:tcW w:w="48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4.0</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0.5</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0.1</w:t>
                  </w:r>
                </w:p>
              </w:tc>
              <w:tc>
                <w:tcPr>
                  <w:tcW w:w="399" w:type="pct"/>
                  <w:tcBorders>
                    <w:top w:val="single" w:color="auto" w:sz="4" w:space="0"/>
                    <w:left w:val="single" w:color="auto" w:sz="4" w:space="0"/>
                    <w:bottom w:val="single" w:color="auto" w:sz="4" w:space="0"/>
                    <w:right w:val="nil"/>
                  </w:tcBorders>
                  <w:vAlign w:val="center"/>
                </w:tcPr>
                <w:p>
                  <w:pPr>
                    <w:pStyle w:val="94"/>
                    <w:rPr>
                      <w:sz w:val="21"/>
                      <w:szCs w:val="21"/>
                    </w:rPr>
                  </w:pPr>
                  <w:r>
                    <w:rPr>
                      <w:sz w:val="21"/>
                      <w:szCs w:val="21"/>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18" w:type="pct"/>
                  <w:vMerge w:val="continue"/>
                  <w:tcBorders>
                    <w:top w:val="single" w:color="auto" w:sz="4" w:space="0"/>
                    <w:left w:val="nil"/>
                    <w:bottom w:val="single" w:color="auto" w:sz="4" w:space="0"/>
                    <w:right w:val="single" w:color="auto" w:sz="4" w:space="0"/>
                  </w:tcBorders>
                  <w:vAlign w:val="center"/>
                </w:tcPr>
                <w:p>
                  <w:pPr>
                    <w:pStyle w:val="94"/>
                    <w:rPr>
                      <w:kern w:val="0"/>
                      <w:sz w:val="21"/>
                      <w:szCs w:val="21"/>
                    </w:rPr>
                  </w:pPr>
                </w:p>
              </w:tc>
              <w:tc>
                <w:tcPr>
                  <w:tcW w:w="91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最大水质指数</w:t>
                  </w:r>
                </w:p>
              </w:tc>
              <w:tc>
                <w:tcPr>
                  <w:tcW w:w="56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0.085</w:t>
                  </w:r>
                </w:p>
              </w:tc>
              <w:tc>
                <w:tcPr>
                  <w:tcW w:w="501"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0.8</w:t>
                  </w:r>
                </w:p>
              </w:tc>
              <w:tc>
                <w:tcPr>
                  <w:tcW w:w="592"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0.8</w:t>
                  </w:r>
                </w:p>
              </w:tc>
              <w:tc>
                <w:tcPr>
                  <w:tcW w:w="487"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0.85</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0.976</w:t>
                  </w:r>
                </w:p>
              </w:tc>
              <w:tc>
                <w:tcPr>
                  <w:tcW w:w="500" w:type="pct"/>
                  <w:tcBorders>
                    <w:top w:val="single" w:color="auto" w:sz="4" w:space="0"/>
                    <w:left w:val="single" w:color="auto" w:sz="4" w:space="0"/>
                    <w:bottom w:val="single" w:color="auto" w:sz="4" w:space="0"/>
                    <w:right w:val="single" w:color="auto" w:sz="4" w:space="0"/>
                  </w:tcBorders>
                  <w:vAlign w:val="center"/>
                </w:tcPr>
                <w:p>
                  <w:pPr>
                    <w:pStyle w:val="94"/>
                    <w:rPr>
                      <w:sz w:val="21"/>
                      <w:szCs w:val="21"/>
                    </w:rPr>
                  </w:pPr>
                  <w:r>
                    <w:rPr>
                      <w:sz w:val="21"/>
                      <w:szCs w:val="21"/>
                    </w:rPr>
                    <w:t>0.8</w:t>
                  </w:r>
                </w:p>
              </w:tc>
              <w:tc>
                <w:tcPr>
                  <w:tcW w:w="399" w:type="pct"/>
                  <w:tcBorders>
                    <w:top w:val="single" w:color="auto" w:sz="4" w:space="0"/>
                    <w:left w:val="single" w:color="auto" w:sz="4" w:space="0"/>
                    <w:bottom w:val="single" w:color="auto" w:sz="4" w:space="0"/>
                    <w:right w:val="nil"/>
                  </w:tcBorders>
                  <w:vAlign w:val="center"/>
                </w:tcPr>
                <w:p>
                  <w:pPr>
                    <w:pStyle w:val="94"/>
                    <w:rPr>
                      <w:sz w:val="21"/>
                      <w:szCs w:val="21"/>
                    </w:rPr>
                  </w:pPr>
                  <w:r>
                    <w:rPr>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786" w:type="pct"/>
                  <w:gridSpan w:val="9"/>
                  <w:tcBorders>
                    <w:top w:val="single" w:color="auto" w:sz="4" w:space="0"/>
                    <w:left w:val="nil"/>
                    <w:bottom w:val="single" w:color="auto" w:sz="12" w:space="0"/>
                    <w:right w:val="nil"/>
                  </w:tcBorders>
                  <w:vAlign w:val="center"/>
                </w:tcPr>
                <w:p>
                  <w:pPr>
                    <w:pStyle w:val="94"/>
                    <w:rPr>
                      <w:sz w:val="21"/>
                      <w:szCs w:val="21"/>
                    </w:rPr>
                  </w:pPr>
                  <w:r>
                    <w:rPr>
                      <w:sz w:val="21"/>
                      <w:szCs w:val="21"/>
                    </w:rPr>
                    <w:t>注：石油类检出限为0.06mg/L</w:t>
                  </w:r>
                </w:p>
              </w:tc>
            </w:tr>
          </w:tbl>
          <w:p>
            <w:pPr>
              <w:adjustRightInd w:val="0"/>
              <w:snapToGrid w:val="0"/>
              <w:spacing w:line="500" w:lineRule="exact"/>
              <w:ind w:firstLine="480" w:firstLineChars="200"/>
              <w:jc w:val="left"/>
              <w:rPr>
                <w:sz w:val="24"/>
              </w:rPr>
            </w:pPr>
            <w:r>
              <w:rPr>
                <w:rFonts w:hint="eastAsia"/>
                <w:sz w:val="24"/>
              </w:rPr>
              <w:t>根据上述监测结果表明：</w:t>
            </w:r>
            <w:r>
              <w:rPr>
                <w:sz w:val="24"/>
              </w:rPr>
              <w:t>本次评价所设各监测断面监测因子监测结果均达到《地表水环境质量标准》（GB3838-2002）中</w:t>
            </w:r>
            <w:r>
              <w:rPr>
                <w:sz w:val="24"/>
              </w:rPr>
              <w:fldChar w:fldCharType="begin"/>
            </w:r>
            <w:r>
              <w:rPr>
                <w:sz w:val="24"/>
              </w:rPr>
              <w:instrText xml:space="preserve"> = 2 \* ROMAN </w:instrText>
            </w:r>
            <w:r>
              <w:rPr>
                <w:sz w:val="24"/>
              </w:rPr>
              <w:fldChar w:fldCharType="separate"/>
            </w:r>
            <w:r>
              <w:rPr>
                <w:sz w:val="24"/>
              </w:rPr>
              <w:t>II</w:t>
            </w:r>
            <w:r>
              <w:rPr>
                <w:sz w:val="24"/>
              </w:rPr>
              <w:fldChar w:fldCharType="end"/>
            </w:r>
            <w:r>
              <w:rPr>
                <w:sz w:val="24"/>
              </w:rPr>
              <w:t>类水标准要求，水环境质量较好。</w:t>
            </w:r>
          </w:p>
          <w:p>
            <w:pPr>
              <w:spacing w:line="500" w:lineRule="exact"/>
              <w:ind w:firstLine="482" w:firstLineChars="200"/>
              <w:rPr>
                <w:b/>
                <w:bCs/>
                <w:sz w:val="24"/>
              </w:rPr>
            </w:pPr>
            <w:r>
              <w:rPr>
                <w:rFonts w:hint="eastAsia"/>
                <w:b/>
                <w:bCs/>
                <w:sz w:val="24"/>
              </w:rPr>
              <w:t>3、</w:t>
            </w:r>
            <w:r>
              <w:rPr>
                <w:b/>
                <w:bCs/>
                <w:sz w:val="24"/>
              </w:rPr>
              <w:t>声环境</w:t>
            </w:r>
            <w:r>
              <w:rPr>
                <w:rFonts w:hint="eastAsia"/>
                <w:b/>
                <w:bCs/>
                <w:sz w:val="24"/>
              </w:rPr>
              <w:t>质量现状</w:t>
            </w:r>
          </w:p>
          <w:p>
            <w:pPr>
              <w:adjustRightInd w:val="0"/>
              <w:snapToGrid w:val="0"/>
              <w:spacing w:line="500" w:lineRule="exact"/>
              <w:ind w:firstLine="480" w:firstLineChars="200"/>
              <w:rPr>
                <w:b/>
                <w:kern w:val="0"/>
                <w:sz w:val="24"/>
              </w:rPr>
            </w:pPr>
            <w:r>
              <w:rPr>
                <w:sz w:val="24"/>
              </w:rPr>
              <w:t>根据泰州市声环境功能区划，该项目区域声环境执行《声环境质量标准》（GB3096-2008）</w:t>
            </w:r>
            <w:r>
              <w:rPr>
                <w:rFonts w:hint="eastAsia"/>
                <w:sz w:val="24"/>
              </w:rPr>
              <w:t>3</w:t>
            </w:r>
            <w:r>
              <w:rPr>
                <w:sz w:val="24"/>
              </w:rPr>
              <w:t>类区标准，即昼间≤6</w:t>
            </w:r>
            <w:r>
              <w:rPr>
                <w:rFonts w:hint="eastAsia"/>
                <w:sz w:val="24"/>
              </w:rPr>
              <w:t>5</w:t>
            </w:r>
            <w:r>
              <w:rPr>
                <w:sz w:val="24"/>
              </w:rPr>
              <w:t>dB（A）、夜间≤5</w:t>
            </w:r>
            <w:r>
              <w:rPr>
                <w:rFonts w:hint="eastAsia"/>
                <w:sz w:val="24"/>
              </w:rPr>
              <w:t>5</w:t>
            </w:r>
            <w:r>
              <w:rPr>
                <w:sz w:val="24"/>
              </w:rPr>
              <w:t>dB（A）</w:t>
            </w:r>
            <w:r>
              <w:rPr>
                <w:rFonts w:hint="eastAsia"/>
                <w:sz w:val="24"/>
              </w:rPr>
              <w:t>，江苏荟泽检测技术有限公司</w:t>
            </w:r>
            <w:r>
              <w:rPr>
                <w:sz w:val="24"/>
              </w:rPr>
              <w:t>于2020年</w:t>
            </w:r>
            <w:r>
              <w:rPr>
                <w:rFonts w:hint="eastAsia"/>
                <w:sz w:val="24"/>
              </w:rPr>
              <w:t>12</w:t>
            </w:r>
            <w:r>
              <w:rPr>
                <w:sz w:val="24"/>
              </w:rPr>
              <w:t>月</w:t>
            </w:r>
            <w:r>
              <w:rPr>
                <w:rFonts w:hint="eastAsia"/>
                <w:sz w:val="24"/>
              </w:rPr>
              <w:t>18</w:t>
            </w:r>
            <w:r>
              <w:rPr>
                <w:sz w:val="24"/>
              </w:rPr>
              <w:t>日在项目所在地区域噪声进行</w:t>
            </w:r>
            <w:r>
              <w:rPr>
                <w:rFonts w:hint="eastAsia"/>
                <w:sz w:val="24"/>
              </w:rPr>
              <w:t>监</w:t>
            </w:r>
            <w:r>
              <w:rPr>
                <w:sz w:val="24"/>
              </w:rPr>
              <w:t>测，</w:t>
            </w:r>
            <w:r>
              <w:rPr>
                <w:rFonts w:hint="eastAsia"/>
                <w:sz w:val="24"/>
              </w:rPr>
              <w:t>具体监测布点及监测</w:t>
            </w:r>
            <w:r>
              <w:rPr>
                <w:sz w:val="24"/>
              </w:rPr>
              <w:t>结果见表3-</w:t>
            </w:r>
            <w:r>
              <w:rPr>
                <w:rFonts w:hint="eastAsia"/>
                <w:sz w:val="24"/>
              </w:rPr>
              <w:t>6</w:t>
            </w:r>
            <w:r>
              <w:rPr>
                <w:sz w:val="24"/>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rPr>
                <w:b/>
                <w:szCs w:val="21"/>
              </w:rPr>
            </w:pPr>
            <w:r>
              <w:rPr>
                <w:b/>
                <w:szCs w:val="21"/>
              </w:rPr>
              <w:t>表3-</w:t>
            </w:r>
            <w:r>
              <w:rPr>
                <w:rFonts w:hint="eastAsia"/>
                <w:b/>
                <w:szCs w:val="21"/>
              </w:rPr>
              <w:t>6</w:t>
            </w:r>
            <w:r>
              <w:rPr>
                <w:b/>
                <w:szCs w:val="21"/>
              </w:rPr>
              <w:t>声环境现状</w:t>
            </w:r>
            <w:r>
              <w:rPr>
                <w:rFonts w:hint="eastAsia"/>
                <w:b/>
                <w:color w:val="0000FF"/>
                <w:szCs w:val="21"/>
                <w:lang w:eastAsia="zh-CN"/>
              </w:rPr>
              <w:t>监测</w:t>
            </w:r>
            <w:r>
              <w:rPr>
                <w:b/>
                <w:szCs w:val="21"/>
              </w:rPr>
              <w:t>结果（单位</w:t>
            </w:r>
            <w:r>
              <w:rPr>
                <w:rFonts w:hint="eastAsia"/>
                <w:b/>
                <w:szCs w:val="21"/>
                <w:lang w:eastAsia="zh-CN"/>
              </w:rPr>
              <w:t>：</w:t>
            </w:r>
            <w:r>
              <w:rPr>
                <w:b/>
                <w:szCs w:val="21"/>
              </w:rPr>
              <w:t>dB(A)）</w:t>
            </w:r>
          </w:p>
          <w:tbl>
            <w:tblPr>
              <w:tblStyle w:val="33"/>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856"/>
              <w:gridCol w:w="1112"/>
              <w:gridCol w:w="993"/>
              <w:gridCol w:w="1328"/>
              <w:gridCol w:w="783"/>
              <w:gridCol w:w="982"/>
              <w:gridCol w:w="133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856" w:type="dxa"/>
                  <w:vAlign w:val="center"/>
                </w:tcPr>
                <w:p>
                  <w:pPr>
                    <w:pStyle w:val="60"/>
                    <w:jc w:val="center"/>
                    <w:rPr>
                      <w:rFonts w:ascii="Times New Roman" w:hAnsi="Times New Roman"/>
                      <w:b/>
                      <w:bCs/>
                      <w:szCs w:val="21"/>
                    </w:rPr>
                  </w:pPr>
                  <w:r>
                    <w:rPr>
                      <w:rFonts w:hint="eastAsia" w:ascii="Times New Roman" w:hAnsi="Times New Roman"/>
                      <w:b/>
                      <w:bCs/>
                      <w:color w:val="0000FF"/>
                      <w:szCs w:val="21"/>
                      <w:lang w:val="en-US" w:eastAsia="zh-CN"/>
                    </w:rPr>
                    <w:t>监测</w:t>
                  </w:r>
                  <w:r>
                    <w:rPr>
                      <w:rFonts w:ascii="Times New Roman" w:hAnsi="Times New Roman"/>
                      <w:b/>
                      <w:bCs/>
                      <w:szCs w:val="21"/>
                    </w:rPr>
                    <w:t>点位</w:t>
                  </w:r>
                </w:p>
              </w:tc>
              <w:tc>
                <w:tcPr>
                  <w:tcW w:w="1112" w:type="dxa"/>
                  <w:vAlign w:val="center"/>
                </w:tcPr>
                <w:p>
                  <w:pPr>
                    <w:pStyle w:val="60"/>
                    <w:jc w:val="center"/>
                    <w:rPr>
                      <w:rFonts w:ascii="Times New Roman" w:hAnsi="Times New Roman"/>
                      <w:b/>
                      <w:bCs/>
                      <w:szCs w:val="21"/>
                    </w:rPr>
                  </w:pPr>
                  <w:r>
                    <w:rPr>
                      <w:rFonts w:ascii="Times New Roman" w:hAnsi="Times New Roman"/>
                      <w:b/>
                      <w:bCs/>
                      <w:szCs w:val="21"/>
                    </w:rPr>
                    <w:t>昼间</w:t>
                  </w:r>
                </w:p>
              </w:tc>
              <w:tc>
                <w:tcPr>
                  <w:tcW w:w="993" w:type="dxa"/>
                  <w:vAlign w:val="center"/>
                </w:tcPr>
                <w:p>
                  <w:pPr>
                    <w:pStyle w:val="60"/>
                    <w:jc w:val="center"/>
                    <w:rPr>
                      <w:rFonts w:ascii="Times New Roman" w:hAnsi="Times New Roman"/>
                      <w:b/>
                      <w:bCs/>
                      <w:szCs w:val="21"/>
                    </w:rPr>
                  </w:pPr>
                  <w:r>
                    <w:rPr>
                      <w:rFonts w:ascii="Times New Roman" w:hAnsi="Times New Roman"/>
                      <w:b/>
                      <w:bCs/>
                      <w:szCs w:val="21"/>
                    </w:rPr>
                    <w:t>标准</w:t>
                  </w:r>
                </w:p>
              </w:tc>
              <w:tc>
                <w:tcPr>
                  <w:tcW w:w="1328" w:type="dxa"/>
                  <w:vAlign w:val="center"/>
                </w:tcPr>
                <w:p>
                  <w:pPr>
                    <w:pStyle w:val="60"/>
                    <w:jc w:val="center"/>
                    <w:rPr>
                      <w:rFonts w:ascii="Times New Roman" w:hAnsi="Times New Roman"/>
                      <w:b/>
                      <w:bCs/>
                      <w:szCs w:val="21"/>
                    </w:rPr>
                  </w:pPr>
                  <w:r>
                    <w:rPr>
                      <w:rFonts w:ascii="Times New Roman" w:hAnsi="Times New Roman"/>
                      <w:b/>
                      <w:bCs/>
                      <w:szCs w:val="21"/>
                    </w:rPr>
                    <w:t>评价结果</w:t>
                  </w:r>
                </w:p>
              </w:tc>
              <w:tc>
                <w:tcPr>
                  <w:tcW w:w="783" w:type="dxa"/>
                  <w:vAlign w:val="center"/>
                </w:tcPr>
                <w:p>
                  <w:pPr>
                    <w:pStyle w:val="60"/>
                    <w:jc w:val="center"/>
                    <w:rPr>
                      <w:rFonts w:ascii="Times New Roman" w:hAnsi="Times New Roman"/>
                      <w:b/>
                      <w:bCs/>
                      <w:szCs w:val="21"/>
                    </w:rPr>
                  </w:pPr>
                  <w:r>
                    <w:rPr>
                      <w:rFonts w:ascii="Times New Roman" w:hAnsi="Times New Roman"/>
                      <w:b/>
                      <w:bCs/>
                      <w:szCs w:val="21"/>
                    </w:rPr>
                    <w:t>夜间</w:t>
                  </w:r>
                </w:p>
              </w:tc>
              <w:tc>
                <w:tcPr>
                  <w:tcW w:w="981" w:type="dxa"/>
                  <w:vAlign w:val="center"/>
                </w:tcPr>
                <w:p>
                  <w:pPr>
                    <w:pStyle w:val="60"/>
                    <w:jc w:val="center"/>
                    <w:rPr>
                      <w:rFonts w:ascii="Times New Roman" w:hAnsi="Times New Roman"/>
                      <w:b/>
                      <w:bCs/>
                      <w:szCs w:val="21"/>
                    </w:rPr>
                  </w:pPr>
                  <w:r>
                    <w:rPr>
                      <w:rFonts w:ascii="Times New Roman" w:hAnsi="Times New Roman"/>
                      <w:b/>
                      <w:bCs/>
                      <w:szCs w:val="21"/>
                    </w:rPr>
                    <w:t>标准</w:t>
                  </w:r>
                </w:p>
              </w:tc>
              <w:tc>
                <w:tcPr>
                  <w:tcW w:w="1336" w:type="dxa"/>
                  <w:vAlign w:val="center"/>
                </w:tcPr>
                <w:p>
                  <w:pPr>
                    <w:pStyle w:val="60"/>
                    <w:jc w:val="center"/>
                    <w:rPr>
                      <w:rFonts w:ascii="Times New Roman" w:hAnsi="Times New Roman"/>
                      <w:b/>
                      <w:bCs/>
                      <w:szCs w:val="21"/>
                    </w:rPr>
                  </w:pPr>
                  <w:r>
                    <w:rPr>
                      <w:rFonts w:ascii="Times New Roman" w:hAnsi="Times New Roman"/>
                      <w:b/>
                      <w:bCs/>
                      <w:szCs w:val="21"/>
                    </w:rPr>
                    <w:t>评价结果</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856" w:type="dxa"/>
                  <w:vAlign w:val="center"/>
                </w:tcPr>
                <w:p>
                  <w:pPr>
                    <w:pStyle w:val="60"/>
                    <w:jc w:val="center"/>
                    <w:rPr>
                      <w:rFonts w:ascii="Times New Roman" w:hAnsi="Times New Roman"/>
                      <w:szCs w:val="21"/>
                    </w:rPr>
                  </w:pPr>
                  <w:r>
                    <w:rPr>
                      <w:rFonts w:hint="eastAsia" w:ascii="Times New Roman" w:hAnsi="Times New Roman"/>
                      <w:szCs w:val="21"/>
                      <w:lang w:val="en-US"/>
                    </w:rPr>
                    <w:t>Z</w:t>
                  </w:r>
                  <w:r>
                    <w:rPr>
                      <w:rFonts w:ascii="Times New Roman" w:hAnsi="Times New Roman"/>
                      <w:szCs w:val="21"/>
                    </w:rPr>
                    <w:t>1</w:t>
                  </w:r>
                  <w:r>
                    <w:rPr>
                      <w:rFonts w:hint="eastAsia" w:ascii="Times New Roman" w:hAnsi="Times New Roman"/>
                      <w:szCs w:val="21"/>
                    </w:rPr>
                    <w:t>北</w:t>
                  </w:r>
                  <w:r>
                    <w:rPr>
                      <w:rFonts w:ascii="Times New Roman" w:hAnsi="Times New Roman"/>
                      <w:szCs w:val="21"/>
                    </w:rPr>
                    <w:t>厂界外1m</w:t>
                  </w:r>
                </w:p>
              </w:tc>
              <w:tc>
                <w:tcPr>
                  <w:tcW w:w="1112" w:type="dxa"/>
                  <w:vAlign w:val="center"/>
                </w:tcPr>
                <w:p>
                  <w:pPr>
                    <w:jc w:val="center"/>
                    <w:rPr>
                      <w:szCs w:val="21"/>
                    </w:rPr>
                  </w:pPr>
                  <w:r>
                    <w:rPr>
                      <w:rFonts w:hint="eastAsia"/>
                      <w:szCs w:val="21"/>
                    </w:rPr>
                    <w:t>60</w:t>
                  </w:r>
                </w:p>
              </w:tc>
              <w:tc>
                <w:tcPr>
                  <w:tcW w:w="993" w:type="dxa"/>
                  <w:vAlign w:val="center"/>
                </w:tcPr>
                <w:p>
                  <w:pPr>
                    <w:pStyle w:val="60"/>
                    <w:jc w:val="center"/>
                    <w:rPr>
                      <w:rFonts w:ascii="Times New Roman" w:hAnsi="Times New Roman"/>
                      <w:szCs w:val="21"/>
                      <w:lang w:val="en-US"/>
                    </w:rPr>
                  </w:pPr>
                  <w:r>
                    <w:rPr>
                      <w:rFonts w:hint="eastAsia" w:ascii="Times New Roman" w:hAnsi="Times New Roman"/>
                      <w:szCs w:val="21"/>
                      <w:lang w:val="en-US"/>
                    </w:rPr>
                    <w:t>65</w:t>
                  </w:r>
                </w:p>
              </w:tc>
              <w:tc>
                <w:tcPr>
                  <w:tcW w:w="1328" w:type="dxa"/>
                  <w:vAlign w:val="center"/>
                </w:tcPr>
                <w:p>
                  <w:pPr>
                    <w:pStyle w:val="60"/>
                    <w:jc w:val="center"/>
                    <w:rPr>
                      <w:rFonts w:ascii="Times New Roman" w:hAnsi="Times New Roman"/>
                      <w:szCs w:val="21"/>
                    </w:rPr>
                  </w:pPr>
                  <w:r>
                    <w:rPr>
                      <w:rFonts w:ascii="Times New Roman" w:hAnsi="Times New Roman"/>
                      <w:szCs w:val="21"/>
                    </w:rPr>
                    <w:t>达标</w:t>
                  </w:r>
                </w:p>
              </w:tc>
              <w:tc>
                <w:tcPr>
                  <w:tcW w:w="783" w:type="dxa"/>
                  <w:vAlign w:val="center"/>
                </w:tcPr>
                <w:p>
                  <w:pPr>
                    <w:jc w:val="center"/>
                    <w:rPr>
                      <w:szCs w:val="21"/>
                    </w:rPr>
                  </w:pPr>
                  <w:r>
                    <w:rPr>
                      <w:rFonts w:hint="eastAsia"/>
                      <w:szCs w:val="21"/>
                    </w:rPr>
                    <w:t>50</w:t>
                  </w:r>
                </w:p>
              </w:tc>
              <w:tc>
                <w:tcPr>
                  <w:tcW w:w="981" w:type="dxa"/>
                  <w:vAlign w:val="center"/>
                </w:tcPr>
                <w:p>
                  <w:pPr>
                    <w:pStyle w:val="60"/>
                    <w:jc w:val="center"/>
                    <w:rPr>
                      <w:rFonts w:ascii="Times New Roman" w:hAnsi="Times New Roman"/>
                      <w:szCs w:val="21"/>
                      <w:lang w:val="en-US"/>
                    </w:rPr>
                  </w:pPr>
                  <w:r>
                    <w:rPr>
                      <w:rFonts w:hint="eastAsia" w:ascii="Times New Roman" w:hAnsi="Times New Roman"/>
                      <w:szCs w:val="21"/>
                      <w:lang w:val="en-US"/>
                    </w:rPr>
                    <w:t>55</w:t>
                  </w:r>
                </w:p>
              </w:tc>
              <w:tc>
                <w:tcPr>
                  <w:tcW w:w="1336" w:type="dxa"/>
                  <w:vAlign w:val="center"/>
                </w:tcPr>
                <w:p>
                  <w:pPr>
                    <w:pStyle w:val="60"/>
                    <w:jc w:val="center"/>
                    <w:rPr>
                      <w:rFonts w:ascii="Times New Roman" w:hAnsi="Times New Roman"/>
                      <w:szCs w:val="21"/>
                    </w:rPr>
                  </w:pPr>
                  <w:r>
                    <w:rPr>
                      <w:rFonts w:ascii="Times New Roman" w:hAnsi="Times New Roman"/>
                      <w:szCs w:val="21"/>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856" w:type="dxa"/>
                  <w:vAlign w:val="center"/>
                </w:tcPr>
                <w:p>
                  <w:pPr>
                    <w:pStyle w:val="60"/>
                    <w:jc w:val="center"/>
                    <w:rPr>
                      <w:rFonts w:ascii="Times New Roman" w:hAnsi="Times New Roman"/>
                      <w:szCs w:val="21"/>
                    </w:rPr>
                  </w:pPr>
                  <w:r>
                    <w:rPr>
                      <w:rFonts w:hint="eastAsia" w:ascii="Times New Roman" w:hAnsi="Times New Roman"/>
                      <w:szCs w:val="21"/>
                      <w:lang w:val="en-US"/>
                    </w:rPr>
                    <w:t>Z</w:t>
                  </w:r>
                  <w:r>
                    <w:rPr>
                      <w:rFonts w:ascii="Times New Roman" w:hAnsi="Times New Roman"/>
                      <w:szCs w:val="21"/>
                    </w:rPr>
                    <w:t>2</w:t>
                  </w:r>
                  <w:r>
                    <w:rPr>
                      <w:rFonts w:hint="eastAsia" w:ascii="Times New Roman" w:hAnsi="Times New Roman"/>
                      <w:szCs w:val="21"/>
                    </w:rPr>
                    <w:t>东</w:t>
                  </w:r>
                  <w:r>
                    <w:rPr>
                      <w:rFonts w:ascii="Times New Roman" w:hAnsi="Times New Roman"/>
                      <w:szCs w:val="21"/>
                    </w:rPr>
                    <w:t>厂界外1m</w:t>
                  </w:r>
                </w:p>
              </w:tc>
              <w:tc>
                <w:tcPr>
                  <w:tcW w:w="1112" w:type="dxa"/>
                  <w:vAlign w:val="center"/>
                </w:tcPr>
                <w:p>
                  <w:pPr>
                    <w:jc w:val="center"/>
                    <w:rPr>
                      <w:szCs w:val="21"/>
                    </w:rPr>
                  </w:pPr>
                  <w:r>
                    <w:rPr>
                      <w:rFonts w:hint="eastAsia"/>
                      <w:szCs w:val="21"/>
                    </w:rPr>
                    <w:t>60</w:t>
                  </w:r>
                </w:p>
              </w:tc>
              <w:tc>
                <w:tcPr>
                  <w:tcW w:w="993" w:type="dxa"/>
                  <w:vAlign w:val="center"/>
                </w:tcPr>
                <w:p>
                  <w:pPr>
                    <w:pStyle w:val="60"/>
                    <w:jc w:val="center"/>
                    <w:rPr>
                      <w:rFonts w:ascii="Times New Roman" w:hAnsi="Times New Roman"/>
                      <w:szCs w:val="21"/>
                      <w:lang w:val="en-US"/>
                    </w:rPr>
                  </w:pPr>
                  <w:r>
                    <w:rPr>
                      <w:rFonts w:hint="eastAsia" w:ascii="Times New Roman" w:hAnsi="Times New Roman"/>
                      <w:szCs w:val="21"/>
                      <w:lang w:val="en-US"/>
                    </w:rPr>
                    <w:t>65</w:t>
                  </w:r>
                </w:p>
              </w:tc>
              <w:tc>
                <w:tcPr>
                  <w:tcW w:w="1328" w:type="dxa"/>
                  <w:vAlign w:val="center"/>
                </w:tcPr>
                <w:p>
                  <w:pPr>
                    <w:pStyle w:val="60"/>
                    <w:jc w:val="center"/>
                    <w:rPr>
                      <w:rFonts w:ascii="Times New Roman" w:hAnsi="Times New Roman"/>
                      <w:szCs w:val="21"/>
                    </w:rPr>
                  </w:pPr>
                  <w:r>
                    <w:rPr>
                      <w:rFonts w:ascii="Times New Roman" w:hAnsi="Times New Roman"/>
                      <w:szCs w:val="21"/>
                    </w:rPr>
                    <w:t>达标</w:t>
                  </w:r>
                </w:p>
              </w:tc>
              <w:tc>
                <w:tcPr>
                  <w:tcW w:w="783" w:type="dxa"/>
                  <w:vAlign w:val="center"/>
                </w:tcPr>
                <w:p>
                  <w:pPr>
                    <w:jc w:val="center"/>
                    <w:rPr>
                      <w:szCs w:val="21"/>
                    </w:rPr>
                  </w:pPr>
                  <w:r>
                    <w:rPr>
                      <w:rFonts w:hint="eastAsia"/>
                      <w:szCs w:val="21"/>
                    </w:rPr>
                    <w:t>50</w:t>
                  </w:r>
                </w:p>
              </w:tc>
              <w:tc>
                <w:tcPr>
                  <w:tcW w:w="981" w:type="dxa"/>
                  <w:vAlign w:val="center"/>
                </w:tcPr>
                <w:p>
                  <w:pPr>
                    <w:pStyle w:val="60"/>
                    <w:jc w:val="center"/>
                    <w:rPr>
                      <w:rFonts w:ascii="Times New Roman" w:hAnsi="Times New Roman"/>
                      <w:szCs w:val="21"/>
                      <w:lang w:val="en-US"/>
                    </w:rPr>
                  </w:pPr>
                  <w:r>
                    <w:rPr>
                      <w:rFonts w:hint="eastAsia" w:ascii="Times New Roman" w:hAnsi="Times New Roman"/>
                      <w:szCs w:val="21"/>
                      <w:lang w:val="en-US"/>
                    </w:rPr>
                    <w:t>55</w:t>
                  </w:r>
                </w:p>
              </w:tc>
              <w:tc>
                <w:tcPr>
                  <w:tcW w:w="1336" w:type="dxa"/>
                  <w:vAlign w:val="center"/>
                </w:tcPr>
                <w:p>
                  <w:pPr>
                    <w:pStyle w:val="60"/>
                    <w:jc w:val="center"/>
                    <w:rPr>
                      <w:rFonts w:ascii="Times New Roman" w:hAnsi="Times New Roman"/>
                      <w:szCs w:val="21"/>
                    </w:rPr>
                  </w:pPr>
                  <w:r>
                    <w:rPr>
                      <w:rFonts w:ascii="Times New Roman" w:hAnsi="Times New Roman"/>
                      <w:szCs w:val="21"/>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856" w:type="dxa"/>
                  <w:vAlign w:val="center"/>
                </w:tcPr>
                <w:p>
                  <w:pPr>
                    <w:jc w:val="center"/>
                    <w:rPr>
                      <w:szCs w:val="21"/>
                    </w:rPr>
                  </w:pPr>
                  <w:r>
                    <w:rPr>
                      <w:rFonts w:hint="eastAsia"/>
                      <w:szCs w:val="21"/>
                    </w:rPr>
                    <w:t>Z3南</w:t>
                  </w:r>
                  <w:r>
                    <w:rPr>
                      <w:szCs w:val="21"/>
                    </w:rPr>
                    <w:t>厂界外1m</w:t>
                  </w:r>
                </w:p>
              </w:tc>
              <w:tc>
                <w:tcPr>
                  <w:tcW w:w="1112" w:type="dxa"/>
                  <w:vAlign w:val="center"/>
                </w:tcPr>
                <w:p>
                  <w:pPr>
                    <w:jc w:val="center"/>
                    <w:rPr>
                      <w:szCs w:val="21"/>
                    </w:rPr>
                  </w:pPr>
                  <w:r>
                    <w:rPr>
                      <w:rFonts w:hint="eastAsia"/>
                      <w:szCs w:val="21"/>
                    </w:rPr>
                    <w:t>59</w:t>
                  </w:r>
                </w:p>
              </w:tc>
              <w:tc>
                <w:tcPr>
                  <w:tcW w:w="993" w:type="dxa"/>
                  <w:vAlign w:val="center"/>
                </w:tcPr>
                <w:p>
                  <w:pPr>
                    <w:jc w:val="center"/>
                    <w:rPr>
                      <w:szCs w:val="21"/>
                    </w:rPr>
                  </w:pPr>
                  <w:r>
                    <w:rPr>
                      <w:rFonts w:hint="eastAsia"/>
                      <w:szCs w:val="21"/>
                    </w:rPr>
                    <w:t>65</w:t>
                  </w:r>
                </w:p>
              </w:tc>
              <w:tc>
                <w:tcPr>
                  <w:tcW w:w="1328" w:type="dxa"/>
                  <w:vAlign w:val="center"/>
                </w:tcPr>
                <w:p>
                  <w:pPr>
                    <w:jc w:val="center"/>
                    <w:rPr>
                      <w:szCs w:val="21"/>
                    </w:rPr>
                  </w:pPr>
                  <w:r>
                    <w:rPr>
                      <w:szCs w:val="21"/>
                    </w:rPr>
                    <w:t>达标</w:t>
                  </w:r>
                </w:p>
              </w:tc>
              <w:tc>
                <w:tcPr>
                  <w:tcW w:w="783" w:type="dxa"/>
                  <w:vAlign w:val="center"/>
                </w:tcPr>
                <w:p>
                  <w:pPr>
                    <w:jc w:val="center"/>
                    <w:rPr>
                      <w:szCs w:val="21"/>
                    </w:rPr>
                  </w:pPr>
                  <w:r>
                    <w:rPr>
                      <w:rFonts w:hint="eastAsia"/>
                      <w:szCs w:val="21"/>
                    </w:rPr>
                    <w:t>51</w:t>
                  </w:r>
                </w:p>
              </w:tc>
              <w:tc>
                <w:tcPr>
                  <w:tcW w:w="981" w:type="dxa"/>
                  <w:vAlign w:val="center"/>
                </w:tcPr>
                <w:p>
                  <w:pPr>
                    <w:jc w:val="center"/>
                    <w:rPr>
                      <w:szCs w:val="21"/>
                    </w:rPr>
                  </w:pPr>
                  <w:r>
                    <w:rPr>
                      <w:rFonts w:hint="eastAsia"/>
                      <w:szCs w:val="21"/>
                    </w:rPr>
                    <w:t>55</w:t>
                  </w:r>
                </w:p>
              </w:tc>
              <w:tc>
                <w:tcPr>
                  <w:tcW w:w="1336" w:type="dxa"/>
                  <w:vAlign w:val="center"/>
                </w:tcPr>
                <w:p>
                  <w:pPr>
                    <w:jc w:val="center"/>
                    <w:rPr>
                      <w:szCs w:val="21"/>
                    </w:rPr>
                  </w:pPr>
                  <w:r>
                    <w:rPr>
                      <w:szCs w:val="21"/>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1856" w:type="dxa"/>
                  <w:vAlign w:val="center"/>
                </w:tcPr>
                <w:p>
                  <w:pPr>
                    <w:jc w:val="center"/>
                    <w:rPr>
                      <w:szCs w:val="21"/>
                    </w:rPr>
                  </w:pPr>
                  <w:r>
                    <w:rPr>
                      <w:rFonts w:hint="eastAsia"/>
                      <w:szCs w:val="21"/>
                    </w:rPr>
                    <w:t>Z4西</w:t>
                  </w:r>
                  <w:r>
                    <w:rPr>
                      <w:szCs w:val="21"/>
                    </w:rPr>
                    <w:t>厂界外1m</w:t>
                  </w:r>
                </w:p>
              </w:tc>
              <w:tc>
                <w:tcPr>
                  <w:tcW w:w="1112" w:type="dxa"/>
                  <w:vAlign w:val="center"/>
                </w:tcPr>
                <w:p>
                  <w:pPr>
                    <w:jc w:val="center"/>
                    <w:rPr>
                      <w:szCs w:val="21"/>
                    </w:rPr>
                  </w:pPr>
                  <w:r>
                    <w:rPr>
                      <w:rFonts w:hint="eastAsia"/>
                      <w:szCs w:val="21"/>
                    </w:rPr>
                    <w:t>60</w:t>
                  </w:r>
                </w:p>
              </w:tc>
              <w:tc>
                <w:tcPr>
                  <w:tcW w:w="993" w:type="dxa"/>
                  <w:vAlign w:val="center"/>
                </w:tcPr>
                <w:p>
                  <w:pPr>
                    <w:jc w:val="center"/>
                    <w:rPr>
                      <w:szCs w:val="21"/>
                    </w:rPr>
                  </w:pPr>
                  <w:r>
                    <w:rPr>
                      <w:rFonts w:hint="eastAsia"/>
                      <w:szCs w:val="21"/>
                    </w:rPr>
                    <w:t>65</w:t>
                  </w:r>
                </w:p>
              </w:tc>
              <w:tc>
                <w:tcPr>
                  <w:tcW w:w="1328" w:type="dxa"/>
                  <w:vAlign w:val="center"/>
                </w:tcPr>
                <w:p>
                  <w:pPr>
                    <w:jc w:val="center"/>
                    <w:rPr>
                      <w:szCs w:val="21"/>
                    </w:rPr>
                  </w:pPr>
                  <w:r>
                    <w:rPr>
                      <w:szCs w:val="21"/>
                    </w:rPr>
                    <w:t>达标</w:t>
                  </w:r>
                </w:p>
              </w:tc>
              <w:tc>
                <w:tcPr>
                  <w:tcW w:w="783" w:type="dxa"/>
                  <w:vAlign w:val="center"/>
                </w:tcPr>
                <w:p>
                  <w:pPr>
                    <w:jc w:val="center"/>
                    <w:rPr>
                      <w:szCs w:val="21"/>
                    </w:rPr>
                  </w:pPr>
                  <w:r>
                    <w:rPr>
                      <w:rFonts w:hint="eastAsia"/>
                      <w:szCs w:val="21"/>
                    </w:rPr>
                    <w:t>50</w:t>
                  </w:r>
                </w:p>
              </w:tc>
              <w:tc>
                <w:tcPr>
                  <w:tcW w:w="981" w:type="dxa"/>
                  <w:vAlign w:val="center"/>
                </w:tcPr>
                <w:p>
                  <w:pPr>
                    <w:jc w:val="center"/>
                    <w:rPr>
                      <w:szCs w:val="21"/>
                    </w:rPr>
                  </w:pPr>
                  <w:r>
                    <w:rPr>
                      <w:rFonts w:hint="eastAsia"/>
                      <w:szCs w:val="21"/>
                    </w:rPr>
                    <w:t>55</w:t>
                  </w:r>
                </w:p>
              </w:tc>
              <w:tc>
                <w:tcPr>
                  <w:tcW w:w="1336" w:type="dxa"/>
                  <w:vAlign w:val="center"/>
                </w:tcPr>
                <w:p>
                  <w:pPr>
                    <w:jc w:val="center"/>
                    <w:rPr>
                      <w:szCs w:val="21"/>
                    </w:rPr>
                  </w:pPr>
                  <w:r>
                    <w:rPr>
                      <w:szCs w:val="21"/>
                    </w:rPr>
                    <w:t>达标</w:t>
                  </w:r>
                </w:p>
              </w:tc>
            </w:tr>
          </w:tbl>
          <w:p>
            <w:pPr>
              <w:pStyle w:val="16"/>
              <w:keepNext w:val="0"/>
              <w:keepLines w:val="0"/>
              <w:pageBreakBefore w:val="0"/>
              <w:widowControl/>
              <w:kinsoku/>
              <w:wordWrap/>
              <w:overflowPunct/>
              <w:topLinePunct w:val="0"/>
              <w:autoSpaceDE/>
              <w:autoSpaceDN/>
              <w:bidi w:val="0"/>
              <w:adjustRightInd/>
              <w:snapToGrid w:val="0"/>
              <w:spacing w:before="0" w:after="0" w:line="500" w:lineRule="exact"/>
              <w:ind w:right="0" w:firstLine="480" w:firstLineChars="200"/>
              <w:textAlignment w:val="auto"/>
              <w:rPr>
                <w:sz w:val="24"/>
                <w:szCs w:val="24"/>
              </w:rPr>
            </w:pPr>
            <w:r>
              <w:rPr>
                <w:sz w:val="24"/>
                <w:szCs w:val="24"/>
              </w:rPr>
              <w:t>根据监测结果，本项目厂界声环境满足《声环境质量标准》（GB3096-2008）表1中</w:t>
            </w:r>
            <w:r>
              <w:rPr>
                <w:rFonts w:hint="eastAsia"/>
                <w:sz w:val="24"/>
                <w:szCs w:val="24"/>
              </w:rPr>
              <w:t>3</w:t>
            </w:r>
            <w:r>
              <w:rPr>
                <w:sz w:val="24"/>
                <w:szCs w:val="24"/>
              </w:rPr>
              <w:t>类标准。</w:t>
            </w:r>
          </w:p>
          <w:p>
            <w:pPr>
              <w:keepNext w:val="0"/>
              <w:keepLines w:val="0"/>
              <w:pageBreakBefore w:val="0"/>
              <w:kinsoku/>
              <w:wordWrap/>
              <w:overflowPunct/>
              <w:topLinePunct w:val="0"/>
              <w:autoSpaceDE/>
              <w:autoSpaceDN/>
              <w:bidi w:val="0"/>
              <w:adjustRightInd/>
              <w:spacing w:line="500" w:lineRule="exact"/>
              <w:ind w:right="0" w:firstLine="482" w:firstLineChars="200"/>
              <w:textAlignment w:val="auto"/>
              <w:rPr>
                <w:b/>
                <w:bCs/>
                <w:sz w:val="24"/>
              </w:rPr>
            </w:pPr>
            <w:r>
              <w:rPr>
                <w:rFonts w:hint="eastAsia"/>
                <w:b/>
                <w:bCs/>
                <w:sz w:val="24"/>
              </w:rPr>
              <w:t>4、</w:t>
            </w:r>
            <w:r>
              <w:rPr>
                <w:b/>
                <w:bCs/>
                <w:sz w:val="24"/>
              </w:rPr>
              <w:t>生态环境</w:t>
            </w:r>
          </w:p>
          <w:p>
            <w:pPr>
              <w:pStyle w:val="16"/>
              <w:keepNext w:val="0"/>
              <w:keepLines w:val="0"/>
              <w:pageBreakBefore w:val="0"/>
              <w:kinsoku/>
              <w:wordWrap/>
              <w:overflowPunct/>
              <w:topLinePunct w:val="0"/>
              <w:autoSpaceDE/>
              <w:autoSpaceDN/>
              <w:bidi w:val="0"/>
              <w:adjustRightInd/>
              <w:spacing w:before="0" w:after="0" w:line="500" w:lineRule="exact"/>
              <w:ind w:right="0" w:firstLine="480" w:firstLineChars="200"/>
              <w:textAlignment w:val="auto"/>
              <w:rPr>
                <w:sz w:val="24"/>
                <w:szCs w:val="24"/>
              </w:rPr>
            </w:pPr>
            <w:r>
              <w:rPr>
                <w:sz w:val="24"/>
                <w:szCs w:val="24"/>
              </w:rPr>
              <w:t>项目</w:t>
            </w:r>
            <w:r>
              <w:rPr>
                <w:rFonts w:hint="eastAsia"/>
                <w:sz w:val="24"/>
                <w:szCs w:val="24"/>
              </w:rPr>
              <w:t>利用租赁厂房建设，不新增用地，不涉及生态环境保护目标，</w:t>
            </w:r>
            <w:r>
              <w:rPr>
                <w:sz w:val="24"/>
                <w:szCs w:val="24"/>
                <w:lang w:val="zh-CN"/>
              </w:rPr>
              <w:t>无需进行生态现状调查。</w:t>
            </w:r>
          </w:p>
          <w:p>
            <w:pPr>
              <w:keepNext w:val="0"/>
              <w:keepLines w:val="0"/>
              <w:pageBreakBefore w:val="0"/>
              <w:kinsoku/>
              <w:wordWrap/>
              <w:overflowPunct/>
              <w:topLinePunct w:val="0"/>
              <w:autoSpaceDE/>
              <w:autoSpaceDN/>
              <w:bidi w:val="0"/>
              <w:adjustRightInd/>
              <w:spacing w:line="500" w:lineRule="exact"/>
              <w:ind w:right="0" w:firstLine="482" w:firstLineChars="200"/>
              <w:textAlignment w:val="auto"/>
              <w:rPr>
                <w:rFonts w:hint="eastAsia"/>
                <w:b/>
                <w:bCs/>
                <w:sz w:val="24"/>
              </w:rPr>
            </w:pPr>
            <w:r>
              <w:rPr>
                <w:rFonts w:hint="eastAsia"/>
                <w:b/>
                <w:bCs/>
                <w:sz w:val="24"/>
              </w:rPr>
              <w:t>5、电磁辐射</w:t>
            </w:r>
          </w:p>
          <w:p>
            <w:pPr>
              <w:pStyle w:val="16"/>
              <w:spacing w:after="0" w:line="500" w:lineRule="exact"/>
              <w:ind w:firstLine="480" w:firstLineChars="200"/>
              <w:rPr>
                <w:sz w:val="24"/>
                <w:szCs w:val="24"/>
              </w:rPr>
            </w:pPr>
            <w:r>
              <w:rPr>
                <w:sz w:val="24"/>
                <w:szCs w:val="24"/>
              </w:rPr>
              <w:t>项目不属于电磁辐射类项目，无需开展电磁辐射现状监测与评价。</w:t>
            </w:r>
          </w:p>
          <w:p>
            <w:pPr>
              <w:pStyle w:val="16"/>
              <w:spacing w:before="0" w:after="0" w:line="500" w:lineRule="exact"/>
              <w:ind w:right="0" w:firstLine="482" w:firstLineChars="200"/>
              <w:rPr>
                <w:b/>
                <w:kern w:val="2"/>
                <w:sz w:val="24"/>
                <w:szCs w:val="24"/>
              </w:rPr>
            </w:pPr>
            <w:r>
              <w:rPr>
                <w:rFonts w:hint="eastAsia"/>
                <w:b/>
                <w:kern w:val="2"/>
                <w:sz w:val="24"/>
                <w:szCs w:val="24"/>
              </w:rPr>
              <w:t>6、</w:t>
            </w:r>
            <w:r>
              <w:rPr>
                <w:b/>
                <w:kern w:val="2"/>
                <w:sz w:val="24"/>
                <w:szCs w:val="24"/>
              </w:rPr>
              <w:t>土壤、地下水环境质量现状</w:t>
            </w:r>
          </w:p>
          <w:p>
            <w:pPr>
              <w:adjustRightInd w:val="0"/>
              <w:snapToGrid w:val="0"/>
              <w:spacing w:line="500" w:lineRule="exact"/>
              <w:ind w:firstLine="480" w:firstLineChars="200"/>
              <w:rPr>
                <w:color w:val="000000"/>
                <w:sz w:val="24"/>
                <w:lang w:bidi="ar"/>
              </w:rPr>
            </w:pPr>
            <w:r>
              <w:rPr>
                <w:color w:val="000000"/>
                <w:sz w:val="24"/>
                <w:lang w:bidi="ar"/>
              </w:rPr>
              <w:t>根据《建设项目环境影响报告表编制技术指南（污染影响类）（试行）》，本建设项目不存在土壤、地下水环境污染途径，故不开展土壤及地下水环境现状监测与评价。</w:t>
            </w:r>
          </w:p>
          <w:p>
            <w:pPr>
              <w:spacing w:line="500" w:lineRule="exact"/>
              <w:ind w:firstLine="482" w:firstLineChars="200"/>
              <w:rPr>
                <w:b/>
                <w:sz w:val="24"/>
              </w:rPr>
            </w:pPr>
            <w:r>
              <w:rPr>
                <w:b/>
                <w:sz w:val="24"/>
              </w:rPr>
              <w:t>7</w:t>
            </w:r>
            <w:r>
              <w:rPr>
                <w:rFonts w:hint="eastAsia"/>
                <w:b/>
                <w:sz w:val="24"/>
              </w:rPr>
              <w:t>、</w:t>
            </w:r>
            <w:r>
              <w:rPr>
                <w:b/>
                <w:sz w:val="24"/>
              </w:rPr>
              <w:t>主要环境问题</w:t>
            </w:r>
          </w:p>
          <w:p>
            <w:pPr>
              <w:autoSpaceDE w:val="0"/>
              <w:autoSpaceDN w:val="0"/>
              <w:adjustRightInd w:val="0"/>
              <w:snapToGrid w:val="0"/>
              <w:spacing w:line="500" w:lineRule="exact"/>
              <w:ind w:firstLine="480" w:firstLineChars="200"/>
              <w:rPr>
                <w:sz w:val="24"/>
              </w:rPr>
            </w:pPr>
            <w:r>
              <w:rPr>
                <w:sz w:val="24"/>
              </w:rPr>
              <w:t>项目所在地总体环境质量较好，近年环境监察记录表明该区域基本无环境纠纷。</w:t>
            </w:r>
          </w:p>
          <w:p>
            <w:pPr>
              <w:pStyle w:val="63"/>
              <w:spacing w:line="360" w:lineRule="auto"/>
              <w:ind w:firstLine="482" w:firstLineChars="200"/>
              <w:rPr>
                <w:rFonts w:ascii="Times New Roman" w:hAnsi="Times New Roman" w:cs="Times New Roman"/>
                <w:color w:val="auto"/>
                <w:szCs w:val="21"/>
              </w:rPr>
            </w:pPr>
          </w:p>
          <w:p>
            <w:pPr>
              <w:pStyle w:val="65"/>
              <w:rPr>
                <w:rFonts w:ascii="Times New Roman" w:hAnsi="Times New Roman" w:cs="Times New Roman"/>
                <w:color w:val="auto"/>
                <w:szCs w:val="21"/>
              </w:rPr>
            </w:pPr>
          </w:p>
          <w:p>
            <w:pPr>
              <w:pStyle w:val="66"/>
              <w:rPr>
                <w:rFonts w:ascii="Times New Roman" w:hAnsi="Times New Roman" w:cs="Times New Roman"/>
                <w:color w:val="auto"/>
                <w:szCs w:val="21"/>
              </w:rPr>
            </w:pPr>
          </w:p>
          <w:p>
            <w:pPr>
              <w:pStyle w:val="28"/>
              <w:rPr>
                <w:rFonts w:ascii="Times New Roman" w:hAnsi="Times New Roman" w:cs="Times New Roman"/>
                <w:color w:val="auto"/>
                <w:szCs w:val="21"/>
              </w:rPr>
            </w:pPr>
          </w:p>
          <w:p>
            <w:pPr>
              <w:pStyle w:val="6"/>
              <w:rPr>
                <w:rFonts w:ascii="Times New Roman" w:hAnsi="Times New Roman" w:cs="Times New Roman"/>
                <w:color w:val="auto"/>
                <w:szCs w:val="21"/>
              </w:rPr>
            </w:pPr>
          </w:p>
          <w:p>
            <w:pPr>
              <w:pStyle w:val="7"/>
              <w:rPr>
                <w:rFonts w:ascii="Times New Roman" w:hAnsi="Times New Roman" w:cs="Times New Roman"/>
                <w:color w:val="auto"/>
                <w:szCs w:val="21"/>
              </w:rPr>
            </w:pPr>
          </w:p>
          <w:p>
            <w:pPr>
              <w:pStyle w:val="8"/>
              <w:rPr>
                <w:rFonts w:ascii="Times New Roman" w:hAnsi="Times New Roman" w:cs="Times New Roman"/>
                <w:color w:val="auto"/>
                <w:szCs w:val="21"/>
              </w:rPr>
            </w:pPr>
          </w:p>
          <w:p>
            <w:pPr>
              <w:pStyle w:val="9"/>
              <w:numPr>
                <w:ilvl w:val="0"/>
                <w:numId w:val="0"/>
              </w:numPr>
              <w:ind w:left="420" w:leftChars="0"/>
              <w:rPr>
                <w:rFonts w:ascii="Times New Roman" w:hAnsi="Times New Roman" w:cs="Times New Roman"/>
                <w:color w:val="auto"/>
                <w:szCs w:val="21"/>
              </w:rPr>
            </w:pPr>
          </w:p>
          <w:p>
            <w:pPr>
              <w:pStyle w:val="1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89" w:hRule="atLeast"/>
          <w:jc w:val="center"/>
        </w:trPr>
        <w:tc>
          <w:tcPr>
            <w:tcW w:w="454" w:type="dxa"/>
            <w:vAlign w:val="center"/>
          </w:tcPr>
          <w:p>
            <w:pPr>
              <w:adjustRightInd w:val="0"/>
              <w:snapToGrid w:val="0"/>
              <w:jc w:val="center"/>
              <w:rPr>
                <w:rFonts w:ascii="宋体" w:hAnsi="宋体" w:cs="宋体"/>
                <w:kern w:val="0"/>
                <w:sz w:val="24"/>
              </w:rPr>
            </w:pPr>
            <w:r>
              <w:rPr>
                <w:rFonts w:hint="eastAsia" w:ascii="宋体" w:hAnsi="宋体" w:cs="宋体"/>
                <w:kern w:val="0"/>
                <w:sz w:val="24"/>
              </w:rPr>
              <w:t>环境</w:t>
            </w:r>
          </w:p>
          <w:p>
            <w:pPr>
              <w:adjustRightInd w:val="0"/>
              <w:snapToGrid w:val="0"/>
              <w:jc w:val="center"/>
              <w:rPr>
                <w:rFonts w:ascii="宋体" w:hAnsi="宋体" w:cs="宋体"/>
                <w:kern w:val="0"/>
                <w:sz w:val="24"/>
              </w:rPr>
            </w:pPr>
            <w:r>
              <w:rPr>
                <w:rFonts w:hint="eastAsia" w:ascii="宋体" w:hAnsi="宋体" w:cs="宋体"/>
                <w:kern w:val="0"/>
                <w:sz w:val="24"/>
              </w:rPr>
              <w:t>保护</w:t>
            </w:r>
          </w:p>
          <w:p>
            <w:pPr>
              <w:adjustRightInd w:val="0"/>
              <w:snapToGrid w:val="0"/>
              <w:jc w:val="center"/>
              <w:rPr>
                <w:rFonts w:ascii="宋体" w:hAnsi="宋体" w:cs="宋体"/>
                <w:kern w:val="0"/>
                <w:sz w:val="24"/>
              </w:rPr>
            </w:pPr>
            <w:r>
              <w:rPr>
                <w:rFonts w:hint="eastAsia" w:ascii="宋体" w:hAnsi="宋体" w:cs="宋体"/>
                <w:kern w:val="0"/>
                <w:sz w:val="24"/>
              </w:rPr>
              <w:t>目标</w:t>
            </w:r>
          </w:p>
        </w:tc>
        <w:tc>
          <w:tcPr>
            <w:tcW w:w="8607" w:type="dxa"/>
          </w:tcPr>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szCs w:val="21"/>
              </w:rPr>
            </w:pPr>
            <w:r>
              <w:rPr>
                <w:sz w:val="24"/>
              </w:rPr>
              <w:t>有关水、气、声、生态环境保护目标及要求见表3-</w:t>
            </w:r>
            <w:r>
              <w:rPr>
                <w:rFonts w:hint="eastAsia"/>
                <w:sz w:val="24"/>
              </w:rPr>
              <w:t>7</w:t>
            </w:r>
            <w:r>
              <w:rPr>
                <w:sz w:val="24"/>
              </w:rPr>
              <w:t>。</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jc w:val="center"/>
              <w:textAlignment w:val="auto"/>
              <w:rPr>
                <w:b/>
                <w:bCs/>
              </w:rPr>
            </w:pPr>
            <w:r>
              <w:rPr>
                <w:b/>
                <w:bCs/>
              </w:rPr>
              <w:t>表3-</w:t>
            </w:r>
            <w:r>
              <w:rPr>
                <w:rFonts w:hint="eastAsia"/>
                <w:b/>
                <w:bCs/>
              </w:rPr>
              <w:t>7</w:t>
            </w:r>
            <w:r>
              <w:rPr>
                <w:b/>
                <w:bCs/>
              </w:rPr>
              <w:t>建设项目主要环境保护目标</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527"/>
              <w:gridCol w:w="804"/>
              <w:gridCol w:w="1732"/>
              <w:gridCol w:w="827"/>
              <w:gridCol w:w="27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pct"/>
                  <w:vAlign w:val="center"/>
                </w:tcPr>
                <w:p>
                  <w:pPr>
                    <w:adjustRightInd w:val="0"/>
                    <w:snapToGrid w:val="0"/>
                    <w:jc w:val="center"/>
                    <w:rPr>
                      <w:b/>
                      <w:bCs/>
                      <w:szCs w:val="21"/>
                    </w:rPr>
                  </w:pPr>
                  <w:r>
                    <w:rPr>
                      <w:b/>
                      <w:bCs/>
                      <w:szCs w:val="21"/>
                    </w:rPr>
                    <w:t>环境要素</w:t>
                  </w:r>
                </w:p>
              </w:tc>
              <w:tc>
                <w:tcPr>
                  <w:tcW w:w="910" w:type="pct"/>
                  <w:vAlign w:val="center"/>
                </w:tcPr>
                <w:p>
                  <w:pPr>
                    <w:adjustRightInd w:val="0"/>
                    <w:snapToGrid w:val="0"/>
                    <w:jc w:val="center"/>
                    <w:rPr>
                      <w:b/>
                      <w:bCs/>
                      <w:szCs w:val="21"/>
                    </w:rPr>
                  </w:pPr>
                  <w:r>
                    <w:rPr>
                      <w:b/>
                      <w:bCs/>
                      <w:szCs w:val="21"/>
                    </w:rPr>
                    <w:t>环境保护对象</w:t>
                  </w:r>
                </w:p>
              </w:tc>
              <w:tc>
                <w:tcPr>
                  <w:tcW w:w="479" w:type="pct"/>
                  <w:vAlign w:val="center"/>
                </w:tcPr>
                <w:p>
                  <w:pPr>
                    <w:adjustRightInd w:val="0"/>
                    <w:snapToGrid w:val="0"/>
                    <w:jc w:val="center"/>
                    <w:rPr>
                      <w:b/>
                      <w:bCs/>
                      <w:szCs w:val="21"/>
                    </w:rPr>
                  </w:pPr>
                  <w:r>
                    <w:rPr>
                      <w:b/>
                      <w:bCs/>
                      <w:szCs w:val="21"/>
                    </w:rPr>
                    <w:t>方位</w:t>
                  </w:r>
                </w:p>
              </w:tc>
              <w:tc>
                <w:tcPr>
                  <w:tcW w:w="1032" w:type="pct"/>
                  <w:vAlign w:val="center"/>
                </w:tcPr>
                <w:p>
                  <w:pPr>
                    <w:adjustRightInd w:val="0"/>
                    <w:snapToGrid w:val="0"/>
                    <w:jc w:val="center"/>
                    <w:rPr>
                      <w:b/>
                      <w:bCs/>
                      <w:szCs w:val="21"/>
                    </w:rPr>
                  </w:pPr>
                  <w:r>
                    <w:rPr>
                      <w:b/>
                      <w:bCs/>
                      <w:szCs w:val="21"/>
                    </w:rPr>
                    <w:t>距最近厂界距离</w:t>
                  </w:r>
                  <w:r>
                    <w:rPr>
                      <w:rFonts w:hint="eastAsia"/>
                      <w:b/>
                      <w:bCs/>
                      <w:szCs w:val="21"/>
                      <w:lang w:eastAsia="zh-CN"/>
                    </w:rPr>
                    <w:t>（</w:t>
                  </w:r>
                  <w:r>
                    <w:rPr>
                      <w:b/>
                      <w:bCs/>
                      <w:szCs w:val="21"/>
                    </w:rPr>
                    <w:t>m</w:t>
                  </w:r>
                  <w:r>
                    <w:rPr>
                      <w:rFonts w:hint="eastAsia"/>
                      <w:b/>
                      <w:bCs/>
                      <w:szCs w:val="21"/>
                      <w:lang w:eastAsia="zh-CN"/>
                    </w:rPr>
                    <w:t>）</w:t>
                  </w:r>
                </w:p>
              </w:tc>
              <w:tc>
                <w:tcPr>
                  <w:tcW w:w="493" w:type="pct"/>
                  <w:vAlign w:val="center"/>
                </w:tcPr>
                <w:p>
                  <w:pPr>
                    <w:adjustRightInd w:val="0"/>
                    <w:snapToGrid w:val="0"/>
                    <w:jc w:val="center"/>
                    <w:rPr>
                      <w:b/>
                      <w:bCs/>
                      <w:szCs w:val="21"/>
                    </w:rPr>
                  </w:pPr>
                  <w:r>
                    <w:rPr>
                      <w:b/>
                      <w:bCs/>
                      <w:szCs w:val="21"/>
                    </w:rPr>
                    <w:t>规模</w:t>
                  </w:r>
                </w:p>
              </w:tc>
              <w:tc>
                <w:tcPr>
                  <w:tcW w:w="1643" w:type="pct"/>
                  <w:vAlign w:val="center"/>
                </w:tcPr>
                <w:p>
                  <w:pPr>
                    <w:adjustRightInd w:val="0"/>
                    <w:snapToGrid w:val="0"/>
                    <w:jc w:val="center"/>
                    <w:rPr>
                      <w:b/>
                      <w:bCs/>
                      <w:szCs w:val="21"/>
                    </w:rPr>
                  </w:pPr>
                  <w:r>
                    <w:rPr>
                      <w:b/>
                      <w:bCs/>
                      <w:szCs w:val="21"/>
                    </w:rPr>
                    <w:t>环境功能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pct"/>
                  <w:vAlign w:val="center"/>
                </w:tcPr>
                <w:p>
                  <w:pPr>
                    <w:adjustRightInd w:val="0"/>
                    <w:snapToGrid w:val="0"/>
                    <w:jc w:val="center"/>
                    <w:rPr>
                      <w:szCs w:val="21"/>
                    </w:rPr>
                  </w:pPr>
                  <w:r>
                    <w:rPr>
                      <w:szCs w:val="21"/>
                    </w:rPr>
                    <w:t>大气环境</w:t>
                  </w:r>
                </w:p>
              </w:tc>
              <w:tc>
                <w:tcPr>
                  <w:tcW w:w="4559" w:type="pct"/>
                  <w:gridSpan w:val="5"/>
                  <w:vAlign w:val="center"/>
                </w:tcPr>
                <w:p>
                  <w:pPr>
                    <w:adjustRightInd w:val="0"/>
                    <w:snapToGrid w:val="0"/>
                    <w:jc w:val="center"/>
                    <w:rPr>
                      <w:szCs w:val="21"/>
                    </w:rPr>
                  </w:pPr>
                  <w:r>
                    <w:rPr>
                      <w:rFonts w:hint="eastAsia"/>
                      <w:szCs w:val="21"/>
                    </w:rPr>
                    <w:t>本项目500m范围内无环境空气保护目标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pct"/>
                  <w:vMerge w:val="restart"/>
                  <w:vAlign w:val="center"/>
                </w:tcPr>
                <w:p>
                  <w:pPr>
                    <w:widowControl/>
                    <w:adjustRightInd w:val="0"/>
                    <w:snapToGrid w:val="0"/>
                    <w:jc w:val="center"/>
                    <w:rPr>
                      <w:szCs w:val="21"/>
                    </w:rPr>
                  </w:pPr>
                  <w:r>
                    <w:rPr>
                      <w:rFonts w:hint="eastAsia"/>
                      <w:szCs w:val="21"/>
                    </w:rPr>
                    <w:t>地表水</w:t>
                  </w:r>
                </w:p>
              </w:tc>
              <w:tc>
                <w:tcPr>
                  <w:tcW w:w="910" w:type="pct"/>
                  <w:vAlign w:val="center"/>
                </w:tcPr>
                <w:p>
                  <w:pPr>
                    <w:adjustRightInd w:val="0"/>
                    <w:snapToGrid w:val="0"/>
                    <w:jc w:val="center"/>
                    <w:rPr>
                      <w:szCs w:val="21"/>
                    </w:rPr>
                  </w:pPr>
                  <w:r>
                    <w:rPr>
                      <w:rFonts w:hint="eastAsia"/>
                      <w:szCs w:val="21"/>
                    </w:rPr>
                    <w:t>官沟中沟</w:t>
                  </w:r>
                </w:p>
              </w:tc>
              <w:tc>
                <w:tcPr>
                  <w:tcW w:w="479" w:type="pct"/>
                  <w:vAlign w:val="center"/>
                </w:tcPr>
                <w:p>
                  <w:pPr>
                    <w:adjustRightInd w:val="0"/>
                    <w:snapToGrid w:val="0"/>
                    <w:jc w:val="center"/>
                    <w:rPr>
                      <w:szCs w:val="21"/>
                    </w:rPr>
                  </w:pPr>
                  <w:r>
                    <w:rPr>
                      <w:rFonts w:hint="eastAsia"/>
                      <w:szCs w:val="21"/>
                    </w:rPr>
                    <w:t>东侧</w:t>
                  </w:r>
                </w:p>
              </w:tc>
              <w:tc>
                <w:tcPr>
                  <w:tcW w:w="1032" w:type="pct"/>
                  <w:vAlign w:val="center"/>
                </w:tcPr>
                <w:p>
                  <w:pPr>
                    <w:adjustRightInd w:val="0"/>
                    <w:snapToGrid w:val="0"/>
                    <w:jc w:val="center"/>
                    <w:rPr>
                      <w:szCs w:val="21"/>
                    </w:rPr>
                  </w:pPr>
                  <w:r>
                    <w:rPr>
                      <w:rFonts w:hint="eastAsia"/>
                      <w:szCs w:val="21"/>
                    </w:rPr>
                    <w:t>450</w:t>
                  </w:r>
                </w:p>
              </w:tc>
              <w:tc>
                <w:tcPr>
                  <w:tcW w:w="493" w:type="pct"/>
                  <w:vAlign w:val="center"/>
                </w:tcPr>
                <w:p>
                  <w:pPr>
                    <w:adjustRightInd w:val="0"/>
                    <w:snapToGrid w:val="0"/>
                    <w:jc w:val="center"/>
                    <w:rPr>
                      <w:szCs w:val="21"/>
                    </w:rPr>
                  </w:pPr>
                  <w:r>
                    <w:rPr>
                      <w:rFonts w:hint="eastAsia"/>
                      <w:szCs w:val="21"/>
                    </w:rPr>
                    <w:t>中河</w:t>
                  </w:r>
                </w:p>
              </w:tc>
              <w:tc>
                <w:tcPr>
                  <w:tcW w:w="1643" w:type="pct"/>
                  <w:vMerge w:val="restart"/>
                  <w:vAlign w:val="center"/>
                </w:tcPr>
                <w:p>
                  <w:pPr>
                    <w:adjustRightInd w:val="0"/>
                    <w:snapToGrid w:val="0"/>
                    <w:jc w:val="center"/>
                    <w:rPr>
                      <w:szCs w:val="21"/>
                    </w:rPr>
                  </w:pPr>
                  <w:r>
                    <w:rPr>
                      <w:szCs w:val="21"/>
                    </w:rPr>
                    <w:t>《地表水环境质量标准》</w:t>
                  </w:r>
                </w:p>
                <w:p>
                  <w:pPr>
                    <w:adjustRightInd w:val="0"/>
                    <w:snapToGrid w:val="0"/>
                    <w:jc w:val="center"/>
                    <w:rPr>
                      <w:szCs w:val="21"/>
                    </w:rPr>
                  </w:pPr>
                  <w:r>
                    <w:rPr>
                      <w:szCs w:val="21"/>
                    </w:rPr>
                    <w:t>（GB3838-2002）Ⅲ类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pct"/>
                  <w:vMerge w:val="continue"/>
                  <w:vAlign w:val="center"/>
                </w:tcPr>
                <w:p>
                  <w:pPr>
                    <w:widowControl/>
                    <w:adjustRightInd w:val="0"/>
                    <w:snapToGrid w:val="0"/>
                    <w:jc w:val="center"/>
                    <w:rPr>
                      <w:szCs w:val="21"/>
                    </w:rPr>
                  </w:pPr>
                </w:p>
              </w:tc>
              <w:tc>
                <w:tcPr>
                  <w:tcW w:w="910" w:type="pct"/>
                  <w:vAlign w:val="center"/>
                </w:tcPr>
                <w:p>
                  <w:pPr>
                    <w:adjustRightInd w:val="0"/>
                    <w:snapToGrid w:val="0"/>
                    <w:jc w:val="center"/>
                    <w:rPr>
                      <w:szCs w:val="21"/>
                    </w:rPr>
                  </w:pPr>
                  <w:r>
                    <w:rPr>
                      <w:rFonts w:hint="eastAsia"/>
                      <w:szCs w:val="21"/>
                    </w:rPr>
                    <w:t>周梓中沟</w:t>
                  </w:r>
                </w:p>
              </w:tc>
              <w:tc>
                <w:tcPr>
                  <w:tcW w:w="479" w:type="pct"/>
                  <w:vAlign w:val="center"/>
                </w:tcPr>
                <w:p>
                  <w:pPr>
                    <w:adjustRightInd w:val="0"/>
                    <w:snapToGrid w:val="0"/>
                    <w:jc w:val="center"/>
                    <w:rPr>
                      <w:szCs w:val="21"/>
                    </w:rPr>
                  </w:pPr>
                  <w:r>
                    <w:rPr>
                      <w:rFonts w:hint="eastAsia"/>
                      <w:szCs w:val="21"/>
                    </w:rPr>
                    <w:t>西侧</w:t>
                  </w:r>
                </w:p>
              </w:tc>
              <w:tc>
                <w:tcPr>
                  <w:tcW w:w="1032" w:type="pct"/>
                  <w:vAlign w:val="center"/>
                </w:tcPr>
                <w:p>
                  <w:pPr>
                    <w:adjustRightInd w:val="0"/>
                    <w:snapToGrid w:val="0"/>
                    <w:jc w:val="center"/>
                    <w:rPr>
                      <w:szCs w:val="21"/>
                    </w:rPr>
                  </w:pPr>
                  <w:r>
                    <w:rPr>
                      <w:rFonts w:hint="eastAsia"/>
                      <w:szCs w:val="21"/>
                    </w:rPr>
                    <w:t>850</w:t>
                  </w:r>
                </w:p>
              </w:tc>
              <w:tc>
                <w:tcPr>
                  <w:tcW w:w="493" w:type="pct"/>
                  <w:vAlign w:val="center"/>
                </w:tcPr>
                <w:p>
                  <w:pPr>
                    <w:adjustRightInd w:val="0"/>
                    <w:snapToGrid w:val="0"/>
                    <w:jc w:val="center"/>
                    <w:rPr>
                      <w:szCs w:val="21"/>
                    </w:rPr>
                  </w:pPr>
                  <w:r>
                    <w:rPr>
                      <w:rFonts w:hint="eastAsia"/>
                      <w:szCs w:val="21"/>
                    </w:rPr>
                    <w:t>中河</w:t>
                  </w:r>
                </w:p>
              </w:tc>
              <w:tc>
                <w:tcPr>
                  <w:tcW w:w="1643" w:type="pct"/>
                  <w:vMerge w:val="continue"/>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pct"/>
                  <w:vAlign w:val="center"/>
                </w:tcPr>
                <w:p>
                  <w:pPr>
                    <w:widowControl/>
                    <w:adjustRightInd w:val="0"/>
                    <w:snapToGrid w:val="0"/>
                    <w:jc w:val="center"/>
                    <w:rPr>
                      <w:szCs w:val="21"/>
                    </w:rPr>
                  </w:pPr>
                  <w:r>
                    <w:rPr>
                      <w:szCs w:val="21"/>
                    </w:rPr>
                    <w:t>声环境</w:t>
                  </w:r>
                </w:p>
              </w:tc>
              <w:tc>
                <w:tcPr>
                  <w:tcW w:w="4559" w:type="pct"/>
                  <w:gridSpan w:val="5"/>
                  <w:vAlign w:val="center"/>
                </w:tcPr>
                <w:p>
                  <w:pPr>
                    <w:adjustRightInd w:val="0"/>
                    <w:snapToGrid w:val="0"/>
                    <w:jc w:val="center"/>
                    <w:rPr>
                      <w:szCs w:val="21"/>
                    </w:rPr>
                  </w:pPr>
                  <w:r>
                    <w:rPr>
                      <w:szCs w:val="21"/>
                    </w:rPr>
                    <w:t>本项目厂界外50米范围内无声环境敏感保护目标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pct"/>
                  <w:vAlign w:val="center"/>
                </w:tcPr>
                <w:p>
                  <w:pPr>
                    <w:widowControl/>
                    <w:adjustRightInd w:val="0"/>
                    <w:snapToGrid w:val="0"/>
                    <w:jc w:val="center"/>
                    <w:rPr>
                      <w:szCs w:val="21"/>
                    </w:rPr>
                  </w:pPr>
                  <w:r>
                    <w:rPr>
                      <w:rFonts w:hint="eastAsia"/>
                      <w:szCs w:val="21"/>
                    </w:rPr>
                    <w:t>生态环境</w:t>
                  </w:r>
                </w:p>
              </w:tc>
              <w:tc>
                <w:tcPr>
                  <w:tcW w:w="4559" w:type="pct"/>
                  <w:gridSpan w:val="5"/>
                  <w:vAlign w:val="center"/>
                </w:tcPr>
                <w:p>
                  <w:pPr>
                    <w:adjustRightInd w:val="0"/>
                    <w:snapToGrid w:val="0"/>
                    <w:jc w:val="center"/>
                    <w:rPr>
                      <w:szCs w:val="21"/>
                    </w:rPr>
                  </w:pPr>
                  <w:r>
                    <w:rPr>
                      <w:szCs w:val="21"/>
                    </w:rPr>
                    <w:t>项目不涉及新增用地，不涉及生态环境保护目标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pct"/>
                  <w:vAlign w:val="center"/>
                </w:tcPr>
                <w:p>
                  <w:pPr>
                    <w:widowControl/>
                    <w:adjustRightInd w:val="0"/>
                    <w:snapToGrid w:val="0"/>
                    <w:jc w:val="center"/>
                    <w:rPr>
                      <w:szCs w:val="21"/>
                    </w:rPr>
                  </w:pPr>
                  <w:r>
                    <w:rPr>
                      <w:rFonts w:hint="eastAsia"/>
                      <w:szCs w:val="21"/>
                    </w:rPr>
                    <w:t>地下水环境</w:t>
                  </w:r>
                </w:p>
              </w:tc>
              <w:tc>
                <w:tcPr>
                  <w:tcW w:w="4559" w:type="pct"/>
                  <w:gridSpan w:val="5"/>
                  <w:vAlign w:val="center"/>
                </w:tcPr>
                <w:p>
                  <w:pPr>
                    <w:adjustRightInd w:val="0"/>
                    <w:snapToGrid w:val="0"/>
                    <w:jc w:val="center"/>
                    <w:rPr>
                      <w:szCs w:val="21"/>
                    </w:rPr>
                  </w:pPr>
                  <w:r>
                    <w:rPr>
                      <w:szCs w:val="21"/>
                    </w:rPr>
                    <w:t>本项目厂界外500米范围内无地下水集中式饮用水水源和热水、矿泉水、</w:t>
                  </w:r>
                </w:p>
                <w:p>
                  <w:pPr>
                    <w:adjustRightInd w:val="0"/>
                    <w:snapToGrid w:val="0"/>
                    <w:jc w:val="center"/>
                    <w:rPr>
                      <w:szCs w:val="21"/>
                    </w:rPr>
                  </w:pPr>
                  <w:r>
                    <w:rPr>
                      <w:szCs w:val="21"/>
                    </w:rPr>
                    <w:t>温泉等特殊地下水环境。</w:t>
                  </w:r>
                </w:p>
              </w:tc>
            </w:tr>
          </w:tbl>
          <w:p>
            <w:pPr>
              <w:adjustRightInd w:val="0"/>
              <w:snapToGrid w:val="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29" w:hRule="atLeast"/>
          <w:jc w:val="center"/>
        </w:trPr>
        <w:tc>
          <w:tcPr>
            <w:tcW w:w="454" w:type="dxa"/>
            <w:tcMar>
              <w:left w:w="28" w:type="dxa"/>
              <w:right w:w="28" w:type="dxa"/>
            </w:tcMar>
            <w:vAlign w:val="center"/>
          </w:tcPr>
          <w:p>
            <w:pPr>
              <w:adjustRightInd w:val="0"/>
              <w:snapToGrid w:val="0"/>
              <w:jc w:val="center"/>
              <w:rPr>
                <w:rFonts w:ascii="宋体" w:hAnsi="宋体" w:cs="宋体"/>
                <w:kern w:val="0"/>
                <w:sz w:val="24"/>
              </w:rPr>
            </w:pPr>
            <w:r>
              <w:rPr>
                <w:rFonts w:hint="eastAsia" w:ascii="宋体" w:hAnsi="宋体" w:cs="宋体"/>
                <w:kern w:val="0"/>
                <w:sz w:val="24"/>
              </w:rPr>
              <w:t>污染</w:t>
            </w:r>
          </w:p>
          <w:p>
            <w:pPr>
              <w:adjustRightInd w:val="0"/>
              <w:snapToGrid w:val="0"/>
              <w:jc w:val="center"/>
              <w:rPr>
                <w:rFonts w:ascii="宋体" w:hAnsi="宋体" w:cs="宋体"/>
                <w:kern w:val="0"/>
                <w:sz w:val="24"/>
              </w:rPr>
            </w:pPr>
            <w:r>
              <w:rPr>
                <w:rFonts w:hint="eastAsia" w:ascii="宋体" w:hAnsi="宋体" w:cs="宋体"/>
                <w:kern w:val="0"/>
                <w:sz w:val="24"/>
              </w:rPr>
              <w:t>物排</w:t>
            </w:r>
          </w:p>
          <w:p>
            <w:pPr>
              <w:adjustRightInd w:val="0"/>
              <w:snapToGrid w:val="0"/>
              <w:jc w:val="center"/>
              <w:rPr>
                <w:rFonts w:ascii="宋体" w:hAnsi="宋体" w:cs="宋体"/>
                <w:kern w:val="0"/>
                <w:sz w:val="24"/>
              </w:rPr>
            </w:pPr>
            <w:r>
              <w:rPr>
                <w:rFonts w:hint="eastAsia" w:ascii="宋体" w:hAnsi="宋体" w:cs="宋体"/>
                <w:kern w:val="0"/>
                <w:sz w:val="24"/>
              </w:rPr>
              <w:t>放控</w:t>
            </w:r>
          </w:p>
          <w:p>
            <w:pPr>
              <w:adjustRightInd w:val="0"/>
              <w:snapToGrid w:val="0"/>
              <w:jc w:val="center"/>
              <w:rPr>
                <w:rFonts w:ascii="宋体" w:hAnsi="宋体" w:cs="宋体"/>
                <w:kern w:val="0"/>
                <w:sz w:val="24"/>
              </w:rPr>
            </w:pPr>
            <w:r>
              <w:rPr>
                <w:rFonts w:hint="eastAsia" w:ascii="宋体" w:hAnsi="宋体" w:cs="宋体"/>
                <w:kern w:val="0"/>
                <w:sz w:val="24"/>
              </w:rPr>
              <w:t>制标</w:t>
            </w:r>
          </w:p>
          <w:p>
            <w:pPr>
              <w:adjustRightInd w:val="0"/>
              <w:snapToGrid w:val="0"/>
              <w:jc w:val="center"/>
              <w:rPr>
                <w:rFonts w:ascii="宋体" w:hAnsi="宋体" w:cs="宋体"/>
                <w:kern w:val="0"/>
                <w:sz w:val="24"/>
              </w:rPr>
            </w:pPr>
            <w:r>
              <w:rPr>
                <w:rFonts w:hint="eastAsia" w:ascii="宋体" w:hAnsi="宋体" w:cs="宋体"/>
                <w:kern w:val="0"/>
                <w:sz w:val="24"/>
              </w:rPr>
              <w:t>准</w:t>
            </w:r>
          </w:p>
        </w:tc>
        <w:tc>
          <w:tcPr>
            <w:tcW w:w="8607" w:type="dxa"/>
          </w:tcPr>
          <w:p>
            <w:pPr>
              <w:adjustRightInd w:val="0"/>
              <w:snapToGrid w:val="0"/>
              <w:spacing w:line="500" w:lineRule="exact"/>
              <w:ind w:firstLine="480" w:firstLineChars="200"/>
              <w:rPr>
                <w:sz w:val="24"/>
              </w:rPr>
            </w:pPr>
            <w:r>
              <w:rPr>
                <w:sz w:val="24"/>
              </w:rPr>
              <w:t>1、废气污染物排放标准</w:t>
            </w:r>
          </w:p>
          <w:p>
            <w:pPr>
              <w:tabs>
                <w:tab w:val="left" w:pos="6697"/>
              </w:tabs>
              <w:spacing w:line="500" w:lineRule="exact"/>
              <w:ind w:firstLine="480" w:firstLineChars="200"/>
              <w:rPr>
                <w:sz w:val="24"/>
              </w:rPr>
            </w:pPr>
            <w:r>
              <w:rPr>
                <w:rFonts w:hint="eastAsia"/>
                <w:sz w:val="24"/>
              </w:rPr>
              <w:t>本项目压铸废气中颗粒物和</w:t>
            </w:r>
            <w:r>
              <w:rPr>
                <w:sz w:val="24"/>
              </w:rPr>
              <w:t>非甲烷总烃</w:t>
            </w:r>
            <w:r>
              <w:rPr>
                <w:rFonts w:hint="eastAsia"/>
                <w:sz w:val="24"/>
              </w:rPr>
              <w:t>排</w:t>
            </w:r>
            <w:r>
              <w:rPr>
                <w:sz w:val="24"/>
              </w:rPr>
              <w:t>放执行</w:t>
            </w:r>
            <w:r>
              <w:rPr>
                <w:rFonts w:hint="eastAsia"/>
                <w:sz w:val="24"/>
              </w:rPr>
              <w:t>《铸造工业大气污染物排放标准》（GB39726-2020）中表1和江苏省《大气污染物综合排放标准》（DB32/4041-2021）表1和表3排放要求。抛丸工序和喷塑工序产生的颗粒物</w:t>
            </w:r>
            <w:r>
              <w:rPr>
                <w:sz w:val="24"/>
              </w:rPr>
              <w:t>执行</w:t>
            </w:r>
            <w:r>
              <w:rPr>
                <w:rFonts w:hint="eastAsia"/>
                <w:sz w:val="24"/>
              </w:rPr>
              <w:t>江苏省《大气污染物综合排放标准》（DB32/4041-2021）中表1和表3标准</w:t>
            </w:r>
            <w:r>
              <w:rPr>
                <w:sz w:val="24"/>
              </w:rPr>
              <w:t>。</w:t>
            </w:r>
            <w:r>
              <w:rPr>
                <w:rFonts w:hint="eastAsia"/>
                <w:sz w:val="24"/>
              </w:rPr>
              <w:t>挤管和热粘废气执行《合成树脂工业污染物排放标准》（GB31572-2015）表四和江苏省《大气污染物综合排放标准》（DB32/4041-2021）表1和表3排放要求。</w:t>
            </w:r>
            <w:r>
              <w:rPr>
                <w:rFonts w:hint="eastAsia"/>
                <w:color w:val="FF0000"/>
                <w:sz w:val="24"/>
                <w:lang w:val="en-US" w:eastAsia="zh-CN"/>
              </w:rPr>
              <w:t>印字工序产生的无组织非甲烷总烃执行</w:t>
            </w:r>
            <w:r>
              <w:rPr>
                <w:rFonts w:hint="eastAsia"/>
                <w:color w:val="FF0000"/>
                <w:sz w:val="24"/>
              </w:rPr>
              <w:t>江苏省《大气污染物综合排放标准》（DB32/4041-2021）表</w:t>
            </w:r>
            <w:r>
              <w:rPr>
                <w:rFonts w:hint="eastAsia"/>
                <w:color w:val="FF0000"/>
                <w:sz w:val="24"/>
                <w:lang w:val="en-US" w:eastAsia="zh-CN"/>
              </w:rPr>
              <w:t>3</w:t>
            </w:r>
            <w:r>
              <w:rPr>
                <w:rFonts w:hint="eastAsia"/>
                <w:color w:val="FF0000"/>
                <w:sz w:val="24"/>
              </w:rPr>
              <w:t>排放</w:t>
            </w:r>
            <w:r>
              <w:rPr>
                <w:color w:val="FF0000"/>
                <w:sz w:val="24"/>
              </w:rPr>
              <w:t>限值</w:t>
            </w:r>
            <w:r>
              <w:rPr>
                <w:rFonts w:hint="eastAsia"/>
                <w:color w:val="FF0000"/>
                <w:sz w:val="24"/>
                <w:lang w:eastAsia="zh-CN"/>
              </w:rPr>
              <w:t>，</w:t>
            </w:r>
            <w:r>
              <w:rPr>
                <w:sz w:val="24"/>
              </w:rPr>
              <w:t>厂区内非甲烷总烃</w:t>
            </w:r>
            <w:r>
              <w:rPr>
                <w:rFonts w:hint="eastAsia"/>
                <w:sz w:val="24"/>
              </w:rPr>
              <w:t>、颗粒物</w:t>
            </w:r>
            <w:r>
              <w:rPr>
                <w:sz w:val="24"/>
              </w:rPr>
              <w:t>无组织排放监控点浓度执行《铸造工业大气污染物排放标准》（GB39726-2020）附录A中表A.1</w:t>
            </w:r>
            <w:r>
              <w:rPr>
                <w:rFonts w:hint="eastAsia"/>
                <w:sz w:val="24"/>
              </w:rPr>
              <w:t>和江苏省《大气污染物综合排放标准》（DB32/4041-2021）表2排放</w:t>
            </w:r>
            <w:r>
              <w:rPr>
                <w:sz w:val="24"/>
              </w:rPr>
              <w:t>限值要求</w:t>
            </w:r>
            <w:r>
              <w:rPr>
                <w:rFonts w:hint="eastAsia"/>
                <w:sz w:val="24"/>
              </w:rPr>
              <w:t>。</w:t>
            </w:r>
            <w:r>
              <w:rPr>
                <w:sz w:val="24"/>
              </w:rPr>
              <w:t>具体标准限值见表3-</w:t>
            </w:r>
            <w:r>
              <w:rPr>
                <w:rFonts w:hint="eastAsia"/>
                <w:sz w:val="24"/>
              </w:rPr>
              <w:t>8</w:t>
            </w:r>
            <w:r>
              <w:rPr>
                <w:sz w:val="24"/>
              </w:rPr>
              <w:t>及表3-</w:t>
            </w:r>
            <w:r>
              <w:rPr>
                <w:rFonts w:hint="eastAsia"/>
                <w:sz w:val="24"/>
              </w:rPr>
              <w:t>9</w:t>
            </w:r>
            <w:r>
              <w:rPr>
                <w:sz w:val="24"/>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bCs/>
              </w:rPr>
            </w:pPr>
            <w:r>
              <w:rPr>
                <w:b/>
                <w:bCs/>
              </w:rPr>
              <w:t>表3-</w:t>
            </w:r>
            <w:r>
              <w:rPr>
                <w:rFonts w:hint="eastAsia"/>
                <w:b/>
                <w:bCs/>
              </w:rPr>
              <w:t>8</w:t>
            </w:r>
            <w:r>
              <w:rPr>
                <w:b/>
                <w:bCs/>
              </w:rPr>
              <w:t>废气排放标准限值表（单位：mg/m</w:t>
            </w:r>
            <w:r>
              <w:rPr>
                <w:b/>
                <w:bCs/>
                <w:vertAlign w:val="superscript"/>
              </w:rPr>
              <w:t>3</w:t>
            </w:r>
            <w:r>
              <w:rPr>
                <w:b/>
                <w:bCs/>
              </w:rPr>
              <w:t>）</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116"/>
              <w:gridCol w:w="920"/>
              <w:gridCol w:w="1170"/>
              <w:gridCol w:w="1005"/>
              <w:gridCol w:w="317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4" w:type="dxa"/>
                  <w:tcBorders>
                    <w:right w:val="single" w:color="auto" w:sz="6" w:space="0"/>
                  </w:tcBorders>
                  <w:vAlign w:val="center"/>
                </w:tcPr>
                <w:p>
                  <w:pPr>
                    <w:adjustRightInd w:val="0"/>
                    <w:snapToGrid w:val="0"/>
                    <w:jc w:val="center"/>
                    <w:rPr>
                      <w:b/>
                      <w:bCs/>
                    </w:rPr>
                  </w:pPr>
                  <w:r>
                    <w:rPr>
                      <w:rFonts w:hint="eastAsia"/>
                      <w:b/>
                      <w:bCs/>
                    </w:rPr>
                    <w:t>污染物名称</w:t>
                  </w:r>
                </w:p>
              </w:tc>
              <w:tc>
                <w:tcPr>
                  <w:tcW w:w="1116" w:type="dxa"/>
                  <w:tcBorders>
                    <w:left w:val="single" w:color="auto" w:sz="6" w:space="0"/>
                  </w:tcBorders>
                  <w:vAlign w:val="center"/>
                </w:tcPr>
                <w:p>
                  <w:pPr>
                    <w:adjustRightInd w:val="0"/>
                    <w:snapToGrid w:val="0"/>
                    <w:jc w:val="center"/>
                    <w:rPr>
                      <w:b/>
                      <w:bCs/>
                    </w:rPr>
                  </w:pPr>
                  <w:r>
                    <w:rPr>
                      <w:rFonts w:hint="eastAsia"/>
                      <w:b/>
                      <w:bCs/>
                    </w:rPr>
                    <w:t>最高允许排放浓度</w:t>
                  </w:r>
                </w:p>
                <w:p>
                  <w:pPr>
                    <w:adjustRightInd w:val="0"/>
                    <w:snapToGrid w:val="0"/>
                    <w:jc w:val="center"/>
                    <w:rPr>
                      <w:b/>
                      <w:bCs/>
                    </w:rPr>
                  </w:pPr>
                  <w:r>
                    <w:rPr>
                      <w:rFonts w:hint="eastAsia"/>
                      <w:b/>
                      <w:bCs/>
                    </w:rPr>
                    <w:t>mg/m</w:t>
                  </w:r>
                  <w:r>
                    <w:rPr>
                      <w:rFonts w:hint="eastAsia"/>
                      <w:b/>
                      <w:bCs/>
                      <w:vertAlign w:val="superscript"/>
                    </w:rPr>
                    <w:t>3</w:t>
                  </w:r>
                </w:p>
              </w:tc>
              <w:tc>
                <w:tcPr>
                  <w:tcW w:w="920" w:type="dxa"/>
                  <w:vAlign w:val="center"/>
                </w:tcPr>
                <w:p>
                  <w:pPr>
                    <w:adjustRightInd w:val="0"/>
                    <w:snapToGrid w:val="0"/>
                    <w:jc w:val="center"/>
                    <w:rPr>
                      <w:b/>
                      <w:bCs/>
                    </w:rPr>
                  </w:pPr>
                  <w:r>
                    <w:rPr>
                      <w:b/>
                      <w:bCs/>
                    </w:rPr>
                    <w:t>最高允许排放</w:t>
                  </w:r>
                </w:p>
                <w:p>
                  <w:pPr>
                    <w:adjustRightInd w:val="0"/>
                    <w:snapToGrid w:val="0"/>
                    <w:jc w:val="center"/>
                    <w:rPr>
                      <w:b/>
                      <w:bCs/>
                    </w:rPr>
                  </w:pPr>
                  <w:r>
                    <w:rPr>
                      <w:b/>
                      <w:bCs/>
                    </w:rPr>
                    <w:t>速率kg/h</w:t>
                  </w:r>
                </w:p>
              </w:tc>
              <w:tc>
                <w:tcPr>
                  <w:tcW w:w="2175" w:type="dxa"/>
                  <w:gridSpan w:val="2"/>
                  <w:vAlign w:val="center"/>
                </w:tcPr>
                <w:p>
                  <w:pPr>
                    <w:adjustRightInd w:val="0"/>
                    <w:snapToGrid w:val="0"/>
                    <w:jc w:val="center"/>
                    <w:rPr>
                      <w:b/>
                      <w:bCs/>
                    </w:rPr>
                  </w:pPr>
                  <w:r>
                    <w:rPr>
                      <w:b/>
                      <w:bCs/>
                    </w:rPr>
                    <w:t>单位边界大气污染物排放监控浓度限值</w:t>
                  </w:r>
                </w:p>
                <w:p>
                  <w:pPr>
                    <w:adjustRightInd w:val="0"/>
                    <w:snapToGrid w:val="0"/>
                    <w:jc w:val="center"/>
                    <w:rPr>
                      <w:b/>
                      <w:bCs/>
                    </w:rPr>
                  </w:pPr>
                  <w:r>
                    <w:rPr>
                      <w:b/>
                      <w:bCs/>
                    </w:rPr>
                    <w:t>mg/m</w:t>
                  </w:r>
                  <w:r>
                    <w:rPr>
                      <w:rFonts w:hint="eastAsia"/>
                      <w:b/>
                      <w:bCs/>
                      <w:vertAlign w:val="superscript"/>
                    </w:rPr>
                    <w:t>3</w:t>
                  </w:r>
                </w:p>
              </w:tc>
              <w:tc>
                <w:tcPr>
                  <w:tcW w:w="3176" w:type="dxa"/>
                  <w:vAlign w:val="center"/>
                </w:tcPr>
                <w:p>
                  <w:pPr>
                    <w:adjustRightInd w:val="0"/>
                    <w:snapToGrid w:val="0"/>
                    <w:jc w:val="center"/>
                    <w:rPr>
                      <w:b/>
                      <w:bCs/>
                    </w:rPr>
                  </w:pPr>
                  <w:r>
                    <w:rPr>
                      <w:b/>
                      <w:bCs/>
                    </w:rPr>
                    <w:t>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4" w:type="dxa"/>
                  <w:tcBorders>
                    <w:right w:val="single" w:color="auto" w:sz="6" w:space="0"/>
                  </w:tcBorders>
                  <w:vAlign w:val="center"/>
                </w:tcPr>
                <w:p>
                  <w:pPr>
                    <w:adjustRightInd w:val="0"/>
                    <w:snapToGrid w:val="0"/>
                    <w:jc w:val="center"/>
                  </w:pPr>
                  <w:r>
                    <w:rPr>
                      <w:rFonts w:hint="eastAsia"/>
                    </w:rPr>
                    <w:t>非甲烷总烃</w:t>
                  </w:r>
                </w:p>
              </w:tc>
              <w:tc>
                <w:tcPr>
                  <w:tcW w:w="1116" w:type="dxa"/>
                  <w:tcBorders>
                    <w:left w:val="single" w:color="auto" w:sz="6" w:space="0"/>
                  </w:tcBorders>
                  <w:vAlign w:val="center"/>
                </w:tcPr>
                <w:p>
                  <w:pPr>
                    <w:adjustRightInd w:val="0"/>
                    <w:snapToGrid w:val="0"/>
                    <w:jc w:val="center"/>
                  </w:pPr>
                  <w:r>
                    <w:rPr>
                      <w:rFonts w:hint="eastAsia"/>
                    </w:rPr>
                    <w:t>100</w:t>
                  </w:r>
                </w:p>
              </w:tc>
              <w:tc>
                <w:tcPr>
                  <w:tcW w:w="920" w:type="dxa"/>
                  <w:vAlign w:val="center"/>
                </w:tcPr>
                <w:p>
                  <w:pPr>
                    <w:adjustRightInd w:val="0"/>
                    <w:snapToGrid w:val="0"/>
                    <w:jc w:val="center"/>
                  </w:pPr>
                  <w:r>
                    <w:rPr>
                      <w:rFonts w:hint="eastAsia"/>
                    </w:rPr>
                    <w:t>3.0</w:t>
                  </w:r>
                </w:p>
              </w:tc>
              <w:tc>
                <w:tcPr>
                  <w:tcW w:w="1170" w:type="dxa"/>
                  <w:vAlign w:val="center"/>
                </w:tcPr>
                <w:p>
                  <w:pPr>
                    <w:adjustRightInd w:val="0"/>
                    <w:snapToGrid w:val="0"/>
                    <w:jc w:val="center"/>
                  </w:pPr>
                  <w:r>
                    <w:rPr>
                      <w:rFonts w:hint="eastAsia"/>
                    </w:rPr>
                    <w:t>周界外浓度最高点</w:t>
                  </w:r>
                </w:p>
              </w:tc>
              <w:tc>
                <w:tcPr>
                  <w:tcW w:w="1005" w:type="dxa"/>
                  <w:vAlign w:val="center"/>
                </w:tcPr>
                <w:p>
                  <w:pPr>
                    <w:adjustRightInd w:val="0"/>
                    <w:snapToGrid w:val="0"/>
                    <w:jc w:val="center"/>
                  </w:pPr>
                  <w:r>
                    <w:rPr>
                      <w:rFonts w:hint="eastAsia"/>
                    </w:rPr>
                    <w:t>4.0</w:t>
                  </w:r>
                </w:p>
              </w:tc>
              <w:tc>
                <w:tcPr>
                  <w:tcW w:w="3176" w:type="dxa"/>
                  <w:vMerge w:val="restart"/>
                  <w:vAlign w:val="center"/>
                </w:tcPr>
                <w:p>
                  <w:pPr>
                    <w:adjustRightInd w:val="0"/>
                    <w:snapToGrid w:val="0"/>
                    <w:jc w:val="center"/>
                  </w:pPr>
                  <w:r>
                    <w:rPr>
                      <w:rFonts w:hint="eastAsia"/>
                    </w:rPr>
                    <w:t>《铸造工业大气污染物排放标准》（GB39726-2020）表1、江苏省《大气污染物综合排放标准》（DB32/4041-2021）表1和表3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4" w:type="dxa"/>
                  <w:tcBorders>
                    <w:right w:val="single" w:color="auto" w:sz="6" w:space="0"/>
                  </w:tcBorders>
                  <w:vAlign w:val="center"/>
                </w:tcPr>
                <w:p>
                  <w:pPr>
                    <w:adjustRightInd w:val="0"/>
                    <w:snapToGrid w:val="0"/>
                    <w:jc w:val="center"/>
                  </w:pPr>
                  <w:r>
                    <w:rPr>
                      <w:rFonts w:hint="eastAsia"/>
                    </w:rPr>
                    <w:t>颗粒物</w:t>
                  </w:r>
                </w:p>
              </w:tc>
              <w:tc>
                <w:tcPr>
                  <w:tcW w:w="1116" w:type="dxa"/>
                  <w:tcBorders>
                    <w:left w:val="single" w:color="auto" w:sz="6" w:space="0"/>
                  </w:tcBorders>
                  <w:vAlign w:val="center"/>
                </w:tcPr>
                <w:p>
                  <w:pPr>
                    <w:adjustRightInd w:val="0"/>
                    <w:snapToGrid w:val="0"/>
                    <w:jc w:val="center"/>
                  </w:pPr>
                  <w:r>
                    <w:rPr>
                      <w:rFonts w:hint="eastAsia"/>
                    </w:rPr>
                    <w:t>30</w:t>
                  </w:r>
                </w:p>
              </w:tc>
              <w:tc>
                <w:tcPr>
                  <w:tcW w:w="920" w:type="dxa"/>
                  <w:vAlign w:val="center"/>
                </w:tcPr>
                <w:p>
                  <w:pPr>
                    <w:adjustRightInd w:val="0"/>
                    <w:snapToGrid w:val="0"/>
                    <w:jc w:val="center"/>
                  </w:pPr>
                  <w:r>
                    <w:rPr>
                      <w:rFonts w:hint="eastAsia"/>
                    </w:rPr>
                    <w:t>1.0</w:t>
                  </w:r>
                </w:p>
              </w:tc>
              <w:tc>
                <w:tcPr>
                  <w:tcW w:w="1170" w:type="dxa"/>
                  <w:vAlign w:val="center"/>
                </w:tcPr>
                <w:p>
                  <w:pPr>
                    <w:adjustRightInd w:val="0"/>
                    <w:snapToGrid w:val="0"/>
                    <w:jc w:val="center"/>
                  </w:pPr>
                  <w:r>
                    <w:rPr>
                      <w:rFonts w:hint="eastAsia"/>
                    </w:rPr>
                    <w:t>周界外浓度最高点</w:t>
                  </w:r>
                </w:p>
              </w:tc>
              <w:tc>
                <w:tcPr>
                  <w:tcW w:w="1005" w:type="dxa"/>
                  <w:vAlign w:val="center"/>
                </w:tcPr>
                <w:p>
                  <w:pPr>
                    <w:adjustRightInd w:val="0"/>
                    <w:snapToGrid w:val="0"/>
                    <w:jc w:val="center"/>
                  </w:pPr>
                  <w:r>
                    <w:rPr>
                      <w:rFonts w:hint="eastAsia"/>
                    </w:rPr>
                    <w:t>0.5</w:t>
                  </w:r>
                </w:p>
              </w:tc>
              <w:tc>
                <w:tcPr>
                  <w:tcW w:w="3176" w:type="dxa"/>
                  <w:vMerge w:val="continue"/>
                  <w:vAlign w:val="center"/>
                </w:tcPr>
                <w:p>
                  <w:pPr>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4" w:type="dxa"/>
                  <w:tcBorders>
                    <w:right w:val="single" w:color="auto" w:sz="6" w:space="0"/>
                  </w:tcBorders>
                  <w:vAlign w:val="center"/>
                </w:tcPr>
                <w:p>
                  <w:pPr>
                    <w:adjustRightInd w:val="0"/>
                    <w:snapToGrid w:val="0"/>
                    <w:jc w:val="center"/>
                  </w:pPr>
                  <w:r>
                    <w:rPr>
                      <w:rFonts w:hint="eastAsia"/>
                    </w:rPr>
                    <w:t>非甲烷总烃</w:t>
                  </w:r>
                </w:p>
              </w:tc>
              <w:tc>
                <w:tcPr>
                  <w:tcW w:w="1116" w:type="dxa"/>
                  <w:tcBorders>
                    <w:left w:val="single" w:color="auto" w:sz="6" w:space="0"/>
                  </w:tcBorders>
                  <w:vAlign w:val="center"/>
                </w:tcPr>
                <w:p>
                  <w:pPr>
                    <w:adjustRightInd w:val="0"/>
                    <w:snapToGrid w:val="0"/>
                    <w:jc w:val="center"/>
                  </w:pPr>
                  <w:r>
                    <w:rPr>
                      <w:rFonts w:hint="eastAsia"/>
                    </w:rPr>
                    <w:t>60</w:t>
                  </w:r>
                </w:p>
              </w:tc>
              <w:tc>
                <w:tcPr>
                  <w:tcW w:w="920" w:type="dxa"/>
                  <w:vAlign w:val="center"/>
                </w:tcPr>
                <w:p>
                  <w:pPr>
                    <w:adjustRightInd w:val="0"/>
                    <w:snapToGrid w:val="0"/>
                    <w:jc w:val="center"/>
                  </w:pPr>
                  <w:r>
                    <w:rPr>
                      <w:rFonts w:hint="eastAsia"/>
                    </w:rPr>
                    <w:t>3.0</w:t>
                  </w:r>
                </w:p>
              </w:tc>
              <w:tc>
                <w:tcPr>
                  <w:tcW w:w="1170" w:type="dxa"/>
                  <w:vAlign w:val="center"/>
                </w:tcPr>
                <w:p>
                  <w:pPr>
                    <w:adjustRightInd w:val="0"/>
                    <w:snapToGrid w:val="0"/>
                    <w:jc w:val="center"/>
                  </w:pPr>
                  <w:r>
                    <w:rPr>
                      <w:rFonts w:hint="eastAsia"/>
                    </w:rPr>
                    <w:t>周界外浓度最高点</w:t>
                  </w:r>
                </w:p>
              </w:tc>
              <w:tc>
                <w:tcPr>
                  <w:tcW w:w="1005" w:type="dxa"/>
                  <w:vAlign w:val="center"/>
                </w:tcPr>
                <w:p>
                  <w:pPr>
                    <w:adjustRightInd w:val="0"/>
                    <w:snapToGrid w:val="0"/>
                    <w:jc w:val="center"/>
                  </w:pPr>
                  <w:r>
                    <w:rPr>
                      <w:rFonts w:hint="eastAsia"/>
                    </w:rPr>
                    <w:t>4.0</w:t>
                  </w:r>
                </w:p>
              </w:tc>
              <w:tc>
                <w:tcPr>
                  <w:tcW w:w="3176" w:type="dxa"/>
                  <w:vAlign w:val="center"/>
                </w:tcPr>
                <w:p>
                  <w:pPr>
                    <w:jc w:val="center"/>
                  </w:pPr>
                  <w:r>
                    <w:rPr>
                      <w:rFonts w:hint="eastAsia"/>
                    </w:rPr>
                    <w:t>《合成树脂工业污染物排放标准》（GB31572-2015）表四和江苏省《大气污染物综合排放标准》（DB32/4041-2021）表1和表3</w:t>
                  </w: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bCs/>
              </w:rPr>
            </w:pPr>
            <w:r>
              <w:rPr>
                <w:b/>
                <w:bCs/>
              </w:rPr>
              <w:t>表3-</w:t>
            </w:r>
            <w:r>
              <w:rPr>
                <w:rFonts w:hint="eastAsia"/>
                <w:b/>
                <w:bCs/>
              </w:rPr>
              <w:t>9</w:t>
            </w:r>
            <w:r>
              <w:rPr>
                <w:b/>
                <w:bCs/>
              </w:rPr>
              <w:t>厂区内</w:t>
            </w:r>
            <w:r>
              <w:rPr>
                <w:rFonts w:hint="eastAsia"/>
                <w:b/>
                <w:bCs/>
              </w:rPr>
              <w:t>VOCs</w:t>
            </w:r>
            <w:r>
              <w:rPr>
                <w:b/>
                <w:bCs/>
              </w:rPr>
              <w:t>无组织排放限值</w:t>
            </w:r>
          </w:p>
          <w:tbl>
            <w:tblPr>
              <w:tblStyle w:val="33"/>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041"/>
              <w:gridCol w:w="1311"/>
              <w:gridCol w:w="3385"/>
              <w:gridCol w:w="264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21" w:type="pct"/>
                  <w:vAlign w:val="center"/>
                </w:tcPr>
                <w:p>
                  <w:pPr>
                    <w:adjustRightInd w:val="0"/>
                    <w:snapToGrid w:val="0"/>
                    <w:jc w:val="center"/>
                    <w:rPr>
                      <w:szCs w:val="21"/>
                    </w:rPr>
                  </w:pPr>
                  <w:r>
                    <w:rPr>
                      <w:szCs w:val="21"/>
                    </w:rPr>
                    <w:t>污染物</w:t>
                  </w:r>
                </w:p>
              </w:tc>
              <w:tc>
                <w:tcPr>
                  <w:tcW w:w="2801" w:type="pct"/>
                  <w:gridSpan w:val="2"/>
                  <w:vAlign w:val="center"/>
                </w:tcPr>
                <w:p>
                  <w:pPr>
                    <w:adjustRightInd w:val="0"/>
                    <w:snapToGrid w:val="0"/>
                    <w:jc w:val="center"/>
                    <w:rPr>
                      <w:szCs w:val="21"/>
                    </w:rPr>
                  </w:pPr>
                  <w:r>
                    <w:rPr>
                      <w:szCs w:val="21"/>
                    </w:rPr>
                    <w:t>无组织排放监控浓度限值</w:t>
                  </w:r>
                </w:p>
              </w:tc>
              <w:tc>
                <w:tcPr>
                  <w:tcW w:w="1577" w:type="pct"/>
                  <w:vMerge w:val="restart"/>
                  <w:vAlign w:val="center"/>
                </w:tcPr>
                <w:p>
                  <w:pPr>
                    <w:adjustRightInd w:val="0"/>
                    <w:snapToGrid w:val="0"/>
                    <w:jc w:val="center"/>
                    <w:rPr>
                      <w:szCs w:val="21"/>
                    </w:rPr>
                  </w:pPr>
                  <w:r>
                    <w:rPr>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21" w:type="pct"/>
                  <w:vMerge w:val="restart"/>
                  <w:vAlign w:val="center"/>
                </w:tcPr>
                <w:p>
                  <w:pPr>
                    <w:adjustRightInd w:val="0"/>
                    <w:snapToGrid w:val="0"/>
                    <w:jc w:val="center"/>
                    <w:rPr>
                      <w:szCs w:val="21"/>
                    </w:rPr>
                  </w:pPr>
                  <w:r>
                    <w:rPr>
                      <w:szCs w:val="21"/>
                    </w:rPr>
                    <w:t>非甲烷总烃</w:t>
                  </w:r>
                </w:p>
              </w:tc>
              <w:tc>
                <w:tcPr>
                  <w:tcW w:w="782" w:type="pct"/>
                  <w:vAlign w:val="center"/>
                </w:tcPr>
                <w:p>
                  <w:pPr>
                    <w:adjustRightInd w:val="0"/>
                    <w:snapToGrid w:val="0"/>
                    <w:jc w:val="center"/>
                    <w:rPr>
                      <w:szCs w:val="21"/>
                    </w:rPr>
                  </w:pPr>
                  <w:r>
                    <w:rPr>
                      <w:szCs w:val="21"/>
                    </w:rPr>
                    <w:t>监控点</w:t>
                  </w:r>
                </w:p>
              </w:tc>
              <w:tc>
                <w:tcPr>
                  <w:tcW w:w="2019" w:type="pct"/>
                  <w:vAlign w:val="center"/>
                </w:tcPr>
                <w:p>
                  <w:pPr>
                    <w:adjustRightInd w:val="0"/>
                    <w:snapToGrid w:val="0"/>
                    <w:jc w:val="center"/>
                    <w:rPr>
                      <w:szCs w:val="21"/>
                    </w:rPr>
                  </w:pPr>
                  <w:r>
                    <w:rPr>
                      <w:szCs w:val="21"/>
                    </w:rPr>
                    <w:t>浓度（mg/m</w:t>
                  </w:r>
                  <w:r>
                    <w:rPr>
                      <w:szCs w:val="21"/>
                      <w:vertAlign w:val="superscript"/>
                    </w:rPr>
                    <w:t>3</w:t>
                  </w:r>
                  <w:r>
                    <w:rPr>
                      <w:szCs w:val="21"/>
                    </w:rPr>
                    <w:t>）</w:t>
                  </w:r>
                </w:p>
              </w:tc>
              <w:tc>
                <w:tcPr>
                  <w:tcW w:w="1577" w:type="pct"/>
                  <w:vMerge w:val="continue"/>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21" w:type="pct"/>
                  <w:vMerge w:val="continue"/>
                  <w:vAlign w:val="center"/>
                </w:tcPr>
                <w:p>
                  <w:pPr>
                    <w:adjustRightInd w:val="0"/>
                    <w:snapToGrid w:val="0"/>
                    <w:jc w:val="center"/>
                    <w:rPr>
                      <w:szCs w:val="21"/>
                    </w:rPr>
                  </w:pPr>
                </w:p>
              </w:tc>
              <w:tc>
                <w:tcPr>
                  <w:tcW w:w="782" w:type="pct"/>
                  <w:vMerge w:val="restart"/>
                  <w:vAlign w:val="center"/>
                </w:tcPr>
                <w:p>
                  <w:pPr>
                    <w:adjustRightInd w:val="0"/>
                    <w:snapToGrid w:val="0"/>
                    <w:jc w:val="center"/>
                    <w:rPr>
                      <w:szCs w:val="21"/>
                    </w:rPr>
                  </w:pPr>
                  <w:r>
                    <w:rPr>
                      <w:szCs w:val="21"/>
                    </w:rPr>
                    <w:t>在厂房外设置监控点</w:t>
                  </w:r>
                </w:p>
              </w:tc>
              <w:tc>
                <w:tcPr>
                  <w:tcW w:w="2019" w:type="pct"/>
                  <w:vAlign w:val="center"/>
                </w:tcPr>
                <w:p>
                  <w:pPr>
                    <w:adjustRightInd w:val="0"/>
                    <w:snapToGrid w:val="0"/>
                    <w:jc w:val="center"/>
                    <w:rPr>
                      <w:szCs w:val="21"/>
                    </w:rPr>
                  </w:pPr>
                  <w:r>
                    <w:rPr>
                      <w:rFonts w:hint="eastAsia"/>
                      <w:szCs w:val="21"/>
                    </w:rPr>
                    <w:t>10</w:t>
                  </w:r>
                  <w:r>
                    <w:rPr>
                      <w:szCs w:val="21"/>
                    </w:rPr>
                    <w:t>（监控点处1h平均浓度值）</w:t>
                  </w:r>
                </w:p>
              </w:tc>
              <w:tc>
                <w:tcPr>
                  <w:tcW w:w="1577" w:type="pct"/>
                  <w:vMerge w:val="restart"/>
                  <w:vAlign w:val="center"/>
                </w:tcPr>
                <w:p>
                  <w:pPr>
                    <w:adjustRightInd w:val="0"/>
                    <w:snapToGrid w:val="0"/>
                    <w:jc w:val="center"/>
                    <w:rPr>
                      <w:szCs w:val="21"/>
                    </w:rPr>
                  </w:pPr>
                  <w:r>
                    <w:rPr>
                      <w:szCs w:val="21"/>
                    </w:rPr>
                    <w:t>《铸造工业大气污染物排放标准》（GB39726-2020）</w:t>
                  </w:r>
                  <w:r>
                    <w:rPr>
                      <w:rFonts w:hint="eastAsia"/>
                      <w:szCs w:val="21"/>
                    </w:rPr>
                    <w:t>附录A中表A.1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21" w:type="pct"/>
                  <w:vMerge w:val="continue"/>
                  <w:vAlign w:val="center"/>
                </w:tcPr>
                <w:p>
                  <w:pPr>
                    <w:adjustRightInd w:val="0"/>
                    <w:snapToGrid w:val="0"/>
                    <w:jc w:val="center"/>
                    <w:rPr>
                      <w:szCs w:val="21"/>
                    </w:rPr>
                  </w:pPr>
                </w:p>
              </w:tc>
              <w:tc>
                <w:tcPr>
                  <w:tcW w:w="782" w:type="pct"/>
                  <w:vMerge w:val="continue"/>
                  <w:vAlign w:val="center"/>
                </w:tcPr>
                <w:p>
                  <w:pPr>
                    <w:adjustRightInd w:val="0"/>
                    <w:snapToGrid w:val="0"/>
                    <w:jc w:val="center"/>
                    <w:rPr>
                      <w:szCs w:val="21"/>
                    </w:rPr>
                  </w:pPr>
                </w:p>
              </w:tc>
              <w:tc>
                <w:tcPr>
                  <w:tcW w:w="2019" w:type="pct"/>
                  <w:vAlign w:val="center"/>
                </w:tcPr>
                <w:p>
                  <w:pPr>
                    <w:adjustRightInd w:val="0"/>
                    <w:snapToGrid w:val="0"/>
                    <w:jc w:val="center"/>
                    <w:rPr>
                      <w:szCs w:val="21"/>
                    </w:rPr>
                  </w:pPr>
                  <w:r>
                    <w:rPr>
                      <w:rFonts w:hint="eastAsia"/>
                      <w:szCs w:val="21"/>
                    </w:rPr>
                    <w:t>30</w:t>
                  </w:r>
                  <w:r>
                    <w:rPr>
                      <w:szCs w:val="21"/>
                    </w:rPr>
                    <w:t>（监控点处任意一次浓度值）</w:t>
                  </w:r>
                </w:p>
              </w:tc>
              <w:tc>
                <w:tcPr>
                  <w:tcW w:w="1577" w:type="pct"/>
                  <w:vMerge w:val="continue"/>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21" w:type="pct"/>
                  <w:vAlign w:val="center"/>
                </w:tcPr>
                <w:p>
                  <w:pPr>
                    <w:adjustRightInd w:val="0"/>
                    <w:snapToGrid w:val="0"/>
                    <w:jc w:val="center"/>
                    <w:rPr>
                      <w:szCs w:val="21"/>
                    </w:rPr>
                  </w:pPr>
                  <w:r>
                    <w:rPr>
                      <w:rFonts w:hint="eastAsia"/>
                      <w:szCs w:val="21"/>
                    </w:rPr>
                    <w:t>颗粒物</w:t>
                  </w:r>
                </w:p>
              </w:tc>
              <w:tc>
                <w:tcPr>
                  <w:tcW w:w="782" w:type="pct"/>
                  <w:vMerge w:val="continue"/>
                  <w:vAlign w:val="center"/>
                </w:tcPr>
                <w:p>
                  <w:pPr>
                    <w:adjustRightInd w:val="0"/>
                    <w:snapToGrid w:val="0"/>
                    <w:jc w:val="center"/>
                    <w:rPr>
                      <w:szCs w:val="21"/>
                    </w:rPr>
                  </w:pPr>
                </w:p>
              </w:tc>
              <w:tc>
                <w:tcPr>
                  <w:tcW w:w="2019" w:type="pct"/>
                  <w:vAlign w:val="center"/>
                </w:tcPr>
                <w:p>
                  <w:pPr>
                    <w:adjustRightInd w:val="0"/>
                    <w:snapToGrid w:val="0"/>
                    <w:jc w:val="center"/>
                    <w:rPr>
                      <w:szCs w:val="21"/>
                    </w:rPr>
                  </w:pPr>
                  <w:r>
                    <w:rPr>
                      <w:rFonts w:hint="eastAsia"/>
                      <w:szCs w:val="21"/>
                    </w:rPr>
                    <w:t>5</w:t>
                  </w:r>
                  <w:r>
                    <w:rPr>
                      <w:szCs w:val="21"/>
                    </w:rPr>
                    <w:t>（监控点处1h平均浓度值）</w:t>
                  </w:r>
                </w:p>
              </w:tc>
              <w:tc>
                <w:tcPr>
                  <w:tcW w:w="1577" w:type="pct"/>
                  <w:vMerge w:val="continue"/>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21" w:type="pct"/>
                  <w:vMerge w:val="restart"/>
                  <w:vAlign w:val="center"/>
                </w:tcPr>
                <w:p>
                  <w:pPr>
                    <w:adjustRightInd w:val="0"/>
                    <w:snapToGrid w:val="0"/>
                    <w:jc w:val="center"/>
                    <w:rPr>
                      <w:szCs w:val="21"/>
                    </w:rPr>
                  </w:pPr>
                  <w:r>
                    <w:rPr>
                      <w:szCs w:val="21"/>
                    </w:rPr>
                    <w:t>非甲烷总烃</w:t>
                  </w:r>
                </w:p>
              </w:tc>
              <w:tc>
                <w:tcPr>
                  <w:tcW w:w="782" w:type="pct"/>
                  <w:vMerge w:val="continue"/>
                  <w:vAlign w:val="center"/>
                </w:tcPr>
                <w:p>
                  <w:pPr>
                    <w:adjustRightInd w:val="0"/>
                    <w:snapToGrid w:val="0"/>
                    <w:jc w:val="center"/>
                    <w:rPr>
                      <w:szCs w:val="21"/>
                    </w:rPr>
                  </w:pPr>
                </w:p>
              </w:tc>
              <w:tc>
                <w:tcPr>
                  <w:tcW w:w="2019" w:type="pct"/>
                  <w:vAlign w:val="center"/>
                </w:tcPr>
                <w:p>
                  <w:pPr>
                    <w:adjustRightInd w:val="0"/>
                    <w:snapToGrid w:val="0"/>
                    <w:jc w:val="center"/>
                    <w:rPr>
                      <w:szCs w:val="21"/>
                    </w:rPr>
                  </w:pPr>
                  <w:r>
                    <w:rPr>
                      <w:rFonts w:hint="eastAsia"/>
                      <w:szCs w:val="21"/>
                    </w:rPr>
                    <w:t>6</w:t>
                  </w:r>
                  <w:r>
                    <w:rPr>
                      <w:szCs w:val="21"/>
                    </w:rPr>
                    <w:t>（监控点处1h平均浓度值）</w:t>
                  </w:r>
                </w:p>
              </w:tc>
              <w:tc>
                <w:tcPr>
                  <w:tcW w:w="1577" w:type="pct"/>
                  <w:vMerge w:val="restart"/>
                  <w:vAlign w:val="center"/>
                </w:tcPr>
                <w:p>
                  <w:pPr>
                    <w:adjustRightInd w:val="0"/>
                    <w:snapToGrid w:val="0"/>
                    <w:jc w:val="center"/>
                    <w:rPr>
                      <w:szCs w:val="21"/>
                    </w:rPr>
                  </w:pPr>
                  <w:r>
                    <w:rPr>
                      <w:szCs w:val="21"/>
                    </w:rPr>
                    <w:t>江苏省《大气污染物综合排放标准》（DB32/4041-2021）表2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21" w:type="pct"/>
                  <w:vMerge w:val="continue"/>
                  <w:vAlign w:val="center"/>
                </w:tcPr>
                <w:p>
                  <w:pPr>
                    <w:adjustRightInd w:val="0"/>
                    <w:snapToGrid w:val="0"/>
                    <w:jc w:val="center"/>
                    <w:rPr>
                      <w:szCs w:val="21"/>
                    </w:rPr>
                  </w:pPr>
                </w:p>
              </w:tc>
              <w:tc>
                <w:tcPr>
                  <w:tcW w:w="782" w:type="pct"/>
                  <w:vMerge w:val="continue"/>
                  <w:vAlign w:val="center"/>
                </w:tcPr>
                <w:p>
                  <w:pPr>
                    <w:adjustRightInd w:val="0"/>
                    <w:snapToGrid w:val="0"/>
                    <w:jc w:val="center"/>
                    <w:rPr>
                      <w:szCs w:val="21"/>
                    </w:rPr>
                  </w:pPr>
                </w:p>
              </w:tc>
              <w:tc>
                <w:tcPr>
                  <w:tcW w:w="2019" w:type="pct"/>
                  <w:vAlign w:val="center"/>
                </w:tcPr>
                <w:p>
                  <w:pPr>
                    <w:adjustRightInd w:val="0"/>
                    <w:snapToGrid w:val="0"/>
                    <w:jc w:val="center"/>
                    <w:rPr>
                      <w:szCs w:val="21"/>
                    </w:rPr>
                  </w:pPr>
                  <w:r>
                    <w:rPr>
                      <w:rFonts w:hint="eastAsia"/>
                      <w:szCs w:val="21"/>
                    </w:rPr>
                    <w:t>20</w:t>
                  </w:r>
                  <w:r>
                    <w:rPr>
                      <w:szCs w:val="21"/>
                    </w:rPr>
                    <w:t>（监控点处任意一次浓度值）</w:t>
                  </w:r>
                </w:p>
              </w:tc>
              <w:tc>
                <w:tcPr>
                  <w:tcW w:w="1577" w:type="pct"/>
                  <w:vMerge w:val="continue"/>
                  <w:vAlign w:val="center"/>
                </w:tcPr>
                <w:p>
                  <w:pPr>
                    <w:adjustRightInd w:val="0"/>
                    <w:snapToGrid w:val="0"/>
                    <w:jc w:val="center"/>
                    <w:rPr>
                      <w:szCs w:val="21"/>
                    </w:rPr>
                  </w:pPr>
                </w:p>
              </w:tc>
            </w:tr>
          </w:tbl>
          <w:p>
            <w:pPr>
              <w:tabs>
                <w:tab w:val="left" w:pos="6697"/>
              </w:tabs>
              <w:spacing w:line="500" w:lineRule="exact"/>
              <w:ind w:firstLine="480" w:firstLineChars="200"/>
              <w:rPr>
                <w:sz w:val="24"/>
              </w:rPr>
            </w:pPr>
            <w:r>
              <w:rPr>
                <w:sz w:val="24"/>
              </w:rPr>
              <w:t>2、废水排放标准</w:t>
            </w:r>
          </w:p>
          <w:p>
            <w:pPr>
              <w:tabs>
                <w:tab w:val="left" w:pos="6697"/>
              </w:tabs>
              <w:spacing w:line="500" w:lineRule="exact"/>
              <w:ind w:firstLine="480" w:firstLineChars="200"/>
            </w:pPr>
            <w:r>
              <w:rPr>
                <w:sz w:val="24"/>
              </w:rPr>
              <w:t>本项目无生产废水排放，产生的生活污水</w:t>
            </w:r>
            <w:r>
              <w:rPr>
                <w:rFonts w:hint="eastAsia"/>
                <w:sz w:val="24"/>
              </w:rPr>
              <w:t>经化粪池后</w:t>
            </w:r>
            <w:r>
              <w:rPr>
                <w:sz w:val="24"/>
              </w:rPr>
              <w:t>进市政污水管网执行江苏港城污水处理有限公司的接管标准，尾水达《城镇污水处理厂污染物排放标准</w:t>
            </w:r>
            <w:r>
              <w:rPr>
                <w:rFonts w:hint="eastAsia"/>
                <w:sz w:val="24"/>
              </w:rPr>
              <w:t>》</w:t>
            </w:r>
            <w:r>
              <w:rPr>
                <w:sz w:val="24"/>
              </w:rPr>
              <w:t>（GB18918-2002）中一级A标准后排放，尾水经盘头中沟排入长江</w:t>
            </w:r>
            <w:r>
              <w:rPr>
                <w:rFonts w:hint="eastAsia"/>
                <w:sz w:val="24"/>
              </w:rPr>
              <w:t>。</w:t>
            </w:r>
            <w:r>
              <w:rPr>
                <w:sz w:val="24"/>
              </w:rPr>
              <w:t>江苏港城污水处理有限公司接管标准，具体标准值见表</w:t>
            </w:r>
            <w:r>
              <w:rPr>
                <w:rFonts w:hint="eastAsia"/>
                <w:sz w:val="24"/>
              </w:rPr>
              <w:t>3</w:t>
            </w:r>
            <w:r>
              <w:rPr>
                <w:sz w:val="24"/>
              </w:rPr>
              <w:t>-</w:t>
            </w:r>
            <w:r>
              <w:rPr>
                <w:rFonts w:hint="eastAsia"/>
                <w:sz w:val="24"/>
              </w:rPr>
              <w:t>10</w:t>
            </w:r>
            <w:r>
              <w:rPr>
                <w:sz w:val="24"/>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bCs/>
              </w:rPr>
            </w:pPr>
            <w:r>
              <w:rPr>
                <w:rFonts w:hint="eastAsia"/>
                <w:b/>
                <w:bCs/>
              </w:rPr>
              <w:t>表3-10污水处理厂接管标准</w:t>
            </w:r>
          </w:p>
          <w:tbl>
            <w:tblPr>
              <w:tblStyle w:val="33"/>
              <w:tblW w:w="499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880"/>
              <w:gridCol w:w="868"/>
              <w:gridCol w:w="880"/>
              <w:gridCol w:w="801"/>
              <w:gridCol w:w="841"/>
              <w:gridCol w:w="982"/>
              <w:gridCol w:w="21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Merge w:val="restart"/>
                  <w:vAlign w:val="center"/>
                </w:tcPr>
                <w:p>
                  <w:pPr>
                    <w:jc w:val="center"/>
                    <w:rPr>
                      <w:b/>
                      <w:bCs/>
                      <w:szCs w:val="21"/>
                    </w:rPr>
                  </w:pPr>
                  <w:r>
                    <w:rPr>
                      <w:b/>
                      <w:bCs/>
                      <w:szCs w:val="21"/>
                    </w:rPr>
                    <w:t>项目</w:t>
                  </w:r>
                </w:p>
              </w:tc>
              <w:tc>
                <w:tcPr>
                  <w:tcW w:w="4395" w:type="pct"/>
                  <w:gridSpan w:val="7"/>
                  <w:vAlign w:val="center"/>
                </w:tcPr>
                <w:p>
                  <w:pPr>
                    <w:jc w:val="center"/>
                    <w:rPr>
                      <w:b/>
                      <w:bCs/>
                      <w:szCs w:val="21"/>
                    </w:rPr>
                  </w:pPr>
                  <w:r>
                    <w:rPr>
                      <w:b/>
                      <w:bCs/>
                      <w:szCs w:val="21"/>
                    </w:rPr>
                    <w:t>最高允许排放浓度mg/L</w:t>
                  </w:r>
                  <w:r>
                    <w:rPr>
                      <w:rFonts w:hint="eastAsia"/>
                      <w:b/>
                      <w:bCs/>
                      <w:szCs w:val="21"/>
                    </w:rPr>
                    <w:t>（</w:t>
                  </w:r>
                  <w:r>
                    <w:rPr>
                      <w:b/>
                      <w:bCs/>
                      <w:szCs w:val="21"/>
                    </w:rPr>
                    <w:t>pH无量纲</w:t>
                  </w:r>
                  <w:r>
                    <w:rPr>
                      <w:rFonts w:hint="eastAsia"/>
                      <w:b/>
                      <w:bCs/>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Merge w:val="continue"/>
                  <w:vAlign w:val="center"/>
                </w:tcPr>
                <w:p>
                  <w:pPr>
                    <w:jc w:val="center"/>
                    <w:rPr>
                      <w:b/>
                      <w:bCs/>
                      <w:szCs w:val="21"/>
                    </w:rPr>
                  </w:pPr>
                </w:p>
              </w:tc>
              <w:tc>
                <w:tcPr>
                  <w:tcW w:w="525" w:type="pct"/>
                  <w:vAlign w:val="center"/>
                </w:tcPr>
                <w:p>
                  <w:pPr>
                    <w:jc w:val="center"/>
                    <w:rPr>
                      <w:b/>
                      <w:bCs/>
                      <w:szCs w:val="21"/>
                    </w:rPr>
                  </w:pPr>
                  <w:r>
                    <w:rPr>
                      <w:b/>
                      <w:bCs/>
                      <w:szCs w:val="21"/>
                    </w:rPr>
                    <w:t>pH</w:t>
                  </w:r>
                </w:p>
              </w:tc>
              <w:tc>
                <w:tcPr>
                  <w:tcW w:w="518" w:type="pct"/>
                  <w:vAlign w:val="center"/>
                </w:tcPr>
                <w:p>
                  <w:pPr>
                    <w:jc w:val="center"/>
                    <w:rPr>
                      <w:b/>
                      <w:bCs/>
                      <w:szCs w:val="21"/>
                    </w:rPr>
                  </w:pPr>
                  <w:r>
                    <w:rPr>
                      <w:b/>
                      <w:bCs/>
                      <w:szCs w:val="21"/>
                    </w:rPr>
                    <w:t>COD</w:t>
                  </w:r>
                </w:p>
              </w:tc>
              <w:tc>
                <w:tcPr>
                  <w:tcW w:w="525" w:type="pct"/>
                  <w:vAlign w:val="center"/>
                </w:tcPr>
                <w:p>
                  <w:pPr>
                    <w:jc w:val="center"/>
                    <w:rPr>
                      <w:b/>
                      <w:bCs/>
                      <w:szCs w:val="21"/>
                    </w:rPr>
                  </w:pPr>
                  <w:r>
                    <w:rPr>
                      <w:b/>
                      <w:bCs/>
                      <w:szCs w:val="21"/>
                    </w:rPr>
                    <w:t>SS</w:t>
                  </w:r>
                </w:p>
              </w:tc>
              <w:tc>
                <w:tcPr>
                  <w:tcW w:w="478" w:type="pct"/>
                  <w:vAlign w:val="center"/>
                </w:tcPr>
                <w:p>
                  <w:pPr>
                    <w:jc w:val="center"/>
                    <w:rPr>
                      <w:b/>
                      <w:bCs/>
                      <w:szCs w:val="21"/>
                    </w:rPr>
                  </w:pPr>
                  <w:r>
                    <w:rPr>
                      <w:b/>
                      <w:bCs/>
                      <w:szCs w:val="21"/>
                    </w:rPr>
                    <w:t>氨氮</w:t>
                  </w:r>
                </w:p>
              </w:tc>
              <w:tc>
                <w:tcPr>
                  <w:tcW w:w="502" w:type="pct"/>
                  <w:vAlign w:val="center"/>
                </w:tcPr>
                <w:p>
                  <w:pPr>
                    <w:jc w:val="center"/>
                    <w:rPr>
                      <w:b/>
                      <w:bCs/>
                      <w:szCs w:val="21"/>
                    </w:rPr>
                  </w:pPr>
                  <w:r>
                    <w:rPr>
                      <w:b/>
                      <w:bCs/>
                      <w:szCs w:val="21"/>
                    </w:rPr>
                    <w:t>总磷</w:t>
                  </w:r>
                </w:p>
              </w:tc>
              <w:tc>
                <w:tcPr>
                  <w:tcW w:w="586" w:type="pct"/>
                  <w:vAlign w:val="center"/>
                </w:tcPr>
                <w:p>
                  <w:pPr>
                    <w:jc w:val="center"/>
                    <w:rPr>
                      <w:b/>
                      <w:bCs/>
                      <w:szCs w:val="21"/>
                    </w:rPr>
                  </w:pPr>
                  <w:r>
                    <w:rPr>
                      <w:b/>
                      <w:bCs/>
                      <w:szCs w:val="21"/>
                    </w:rPr>
                    <w:t>总氮</w:t>
                  </w:r>
                </w:p>
              </w:tc>
              <w:tc>
                <w:tcPr>
                  <w:tcW w:w="1260" w:type="pct"/>
                  <w:vAlign w:val="center"/>
                </w:tcPr>
                <w:p>
                  <w:pPr>
                    <w:jc w:val="center"/>
                    <w:rPr>
                      <w:b/>
                      <w:bCs/>
                      <w:szCs w:val="21"/>
                    </w:rPr>
                  </w:pPr>
                  <w:r>
                    <w:rPr>
                      <w:b/>
                      <w:bCs/>
                      <w:szCs w:val="21"/>
                    </w:rPr>
                    <w:t>BOD5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jc w:val="center"/>
                    <w:rPr>
                      <w:szCs w:val="21"/>
                    </w:rPr>
                  </w:pPr>
                  <w:r>
                    <w:rPr>
                      <w:szCs w:val="21"/>
                    </w:rPr>
                    <w:t>污水处理厂接管标准</w:t>
                  </w:r>
                </w:p>
              </w:tc>
              <w:tc>
                <w:tcPr>
                  <w:tcW w:w="525" w:type="pct"/>
                  <w:vAlign w:val="center"/>
                </w:tcPr>
                <w:p>
                  <w:pPr>
                    <w:jc w:val="center"/>
                    <w:rPr>
                      <w:szCs w:val="21"/>
                    </w:rPr>
                  </w:pPr>
                  <w:r>
                    <w:rPr>
                      <w:szCs w:val="21"/>
                    </w:rPr>
                    <w:t>6-9</w:t>
                  </w:r>
                </w:p>
              </w:tc>
              <w:tc>
                <w:tcPr>
                  <w:tcW w:w="518" w:type="pct"/>
                  <w:vAlign w:val="center"/>
                </w:tcPr>
                <w:p>
                  <w:pPr>
                    <w:jc w:val="center"/>
                    <w:rPr>
                      <w:szCs w:val="21"/>
                    </w:rPr>
                  </w:pPr>
                  <w:r>
                    <w:rPr>
                      <w:szCs w:val="21"/>
                    </w:rPr>
                    <w:t>500</w:t>
                  </w:r>
                </w:p>
              </w:tc>
              <w:tc>
                <w:tcPr>
                  <w:tcW w:w="525" w:type="pct"/>
                  <w:vAlign w:val="center"/>
                </w:tcPr>
                <w:p>
                  <w:pPr>
                    <w:jc w:val="center"/>
                    <w:rPr>
                      <w:szCs w:val="21"/>
                    </w:rPr>
                  </w:pPr>
                  <w:r>
                    <w:rPr>
                      <w:szCs w:val="21"/>
                    </w:rPr>
                    <w:t>250*</w:t>
                  </w:r>
                </w:p>
              </w:tc>
              <w:tc>
                <w:tcPr>
                  <w:tcW w:w="478" w:type="pct"/>
                  <w:vAlign w:val="center"/>
                </w:tcPr>
                <w:p>
                  <w:pPr>
                    <w:jc w:val="center"/>
                    <w:rPr>
                      <w:szCs w:val="21"/>
                    </w:rPr>
                  </w:pPr>
                  <w:r>
                    <w:rPr>
                      <w:szCs w:val="21"/>
                    </w:rPr>
                    <w:t>30*</w:t>
                  </w:r>
                </w:p>
              </w:tc>
              <w:tc>
                <w:tcPr>
                  <w:tcW w:w="502" w:type="pct"/>
                  <w:vAlign w:val="center"/>
                </w:tcPr>
                <w:p>
                  <w:pPr>
                    <w:jc w:val="center"/>
                    <w:rPr>
                      <w:szCs w:val="21"/>
                    </w:rPr>
                  </w:pPr>
                  <w:r>
                    <w:rPr>
                      <w:rFonts w:hint="eastAsia"/>
                      <w:szCs w:val="21"/>
                    </w:rPr>
                    <w:t>5</w:t>
                  </w:r>
                  <w:r>
                    <w:rPr>
                      <w:szCs w:val="21"/>
                    </w:rPr>
                    <w:t>.0*</w:t>
                  </w:r>
                </w:p>
              </w:tc>
              <w:tc>
                <w:tcPr>
                  <w:tcW w:w="586" w:type="pct"/>
                  <w:vAlign w:val="center"/>
                </w:tcPr>
                <w:p>
                  <w:pPr>
                    <w:jc w:val="center"/>
                    <w:rPr>
                      <w:szCs w:val="21"/>
                    </w:rPr>
                  </w:pPr>
                  <w:r>
                    <w:rPr>
                      <w:szCs w:val="21"/>
                    </w:rPr>
                    <w:t>45</w:t>
                  </w:r>
                </w:p>
              </w:tc>
              <w:tc>
                <w:tcPr>
                  <w:tcW w:w="1260" w:type="pct"/>
                  <w:vAlign w:val="center"/>
                </w:tcPr>
                <w:p>
                  <w:pPr>
                    <w:jc w:val="center"/>
                    <w:rPr>
                      <w:szCs w:val="21"/>
                    </w:rPr>
                  </w:pPr>
                  <w:r>
                    <w:rPr>
                      <w:rFonts w:hint="eastAsia"/>
                      <w:szCs w:val="21"/>
                    </w:rPr>
                    <w:t>150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pct"/>
                  <w:vAlign w:val="center"/>
                </w:tcPr>
                <w:p>
                  <w:pPr>
                    <w:jc w:val="center"/>
                    <w:rPr>
                      <w:szCs w:val="21"/>
                    </w:rPr>
                  </w:pPr>
                  <w:r>
                    <w:rPr>
                      <w:szCs w:val="21"/>
                    </w:rPr>
                    <w:t>依据</w:t>
                  </w:r>
                </w:p>
              </w:tc>
              <w:tc>
                <w:tcPr>
                  <w:tcW w:w="4395" w:type="pct"/>
                  <w:gridSpan w:val="7"/>
                  <w:vAlign w:val="center"/>
                </w:tcPr>
                <w:p>
                  <w:pPr>
                    <w:jc w:val="center"/>
                    <w:rPr>
                      <w:szCs w:val="21"/>
                    </w:rPr>
                  </w:pPr>
                  <w:r>
                    <w:rPr>
                      <w:szCs w:val="21"/>
                    </w:rPr>
                    <w:t>*为污水处理厂设计进水水质标准，其余为《污水综合排放标准》（GB8978-1996）表4中三级标准</w:t>
                  </w:r>
                </w:p>
              </w:tc>
            </w:tr>
          </w:tbl>
          <w:p>
            <w:pPr>
              <w:tabs>
                <w:tab w:val="left" w:pos="6697"/>
              </w:tabs>
              <w:spacing w:line="500" w:lineRule="exact"/>
              <w:ind w:firstLine="480" w:firstLineChars="200"/>
              <w:rPr>
                <w:sz w:val="24"/>
              </w:rPr>
            </w:pPr>
            <w:r>
              <w:rPr>
                <w:sz w:val="24"/>
              </w:rPr>
              <w:t>江苏港城污水处理有限公司尾水排放标准执行《城镇生活污水处理厂污染物排放标准》（GB18918-2002）一级A标准。具体标准值见表</w:t>
            </w:r>
            <w:r>
              <w:rPr>
                <w:rFonts w:hint="eastAsia"/>
                <w:sz w:val="24"/>
              </w:rPr>
              <w:t>3</w:t>
            </w:r>
            <w:r>
              <w:rPr>
                <w:sz w:val="24"/>
              </w:rPr>
              <w:t>-</w:t>
            </w:r>
            <w:r>
              <w:rPr>
                <w:rFonts w:hint="eastAsia"/>
                <w:sz w:val="24"/>
              </w:rPr>
              <w:t>11</w:t>
            </w:r>
            <w:r>
              <w:rPr>
                <w:sz w:val="24"/>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b/>
                <w:bCs/>
              </w:rPr>
            </w:pPr>
            <w:r>
              <w:rPr>
                <w:rFonts w:hint="eastAsia"/>
                <w:b/>
                <w:bCs/>
              </w:rPr>
              <w:t>表3-11污水处理厂尾水排放标准</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38"/>
              <w:gridCol w:w="979"/>
              <w:gridCol w:w="973"/>
              <w:gridCol w:w="980"/>
              <w:gridCol w:w="981"/>
              <w:gridCol w:w="981"/>
              <w:gridCol w:w="992"/>
              <w:gridCol w:w="9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vMerge w:val="restart"/>
                  <w:vAlign w:val="center"/>
                </w:tcPr>
                <w:p>
                  <w:pPr>
                    <w:jc w:val="center"/>
                    <w:rPr>
                      <w:b/>
                      <w:bCs/>
                      <w:szCs w:val="21"/>
                    </w:rPr>
                  </w:pPr>
                  <w:r>
                    <w:rPr>
                      <w:b/>
                      <w:bCs/>
                      <w:szCs w:val="21"/>
                    </w:rPr>
                    <w:t>项目</w:t>
                  </w:r>
                </w:p>
              </w:tc>
              <w:tc>
                <w:tcPr>
                  <w:tcW w:w="6853" w:type="dxa"/>
                  <w:gridSpan w:val="7"/>
                  <w:vAlign w:val="center"/>
                </w:tcPr>
                <w:p>
                  <w:pPr>
                    <w:jc w:val="center"/>
                    <w:rPr>
                      <w:b/>
                      <w:bCs/>
                      <w:szCs w:val="21"/>
                    </w:rPr>
                  </w:pPr>
                  <w:r>
                    <w:rPr>
                      <w:b/>
                      <w:bCs/>
                      <w:szCs w:val="21"/>
                    </w:rPr>
                    <w:t>最高允许排放浓度mg/LpH无量纲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vMerge w:val="continue"/>
                  <w:vAlign w:val="center"/>
                </w:tcPr>
                <w:p>
                  <w:pPr>
                    <w:jc w:val="center"/>
                    <w:rPr>
                      <w:b/>
                      <w:bCs/>
                      <w:szCs w:val="21"/>
                    </w:rPr>
                  </w:pPr>
                </w:p>
              </w:tc>
              <w:tc>
                <w:tcPr>
                  <w:tcW w:w="979" w:type="dxa"/>
                  <w:vAlign w:val="center"/>
                </w:tcPr>
                <w:p>
                  <w:pPr>
                    <w:jc w:val="center"/>
                    <w:rPr>
                      <w:b/>
                      <w:bCs/>
                      <w:szCs w:val="21"/>
                    </w:rPr>
                  </w:pPr>
                  <w:r>
                    <w:rPr>
                      <w:b/>
                      <w:bCs/>
                      <w:szCs w:val="21"/>
                    </w:rPr>
                    <w:t>pH</w:t>
                  </w:r>
                </w:p>
              </w:tc>
              <w:tc>
                <w:tcPr>
                  <w:tcW w:w="973" w:type="dxa"/>
                  <w:vAlign w:val="center"/>
                </w:tcPr>
                <w:p>
                  <w:pPr>
                    <w:jc w:val="center"/>
                    <w:rPr>
                      <w:b/>
                      <w:bCs/>
                      <w:szCs w:val="21"/>
                    </w:rPr>
                  </w:pPr>
                  <w:r>
                    <w:rPr>
                      <w:b/>
                      <w:bCs/>
                      <w:szCs w:val="21"/>
                    </w:rPr>
                    <w:t>COD</w:t>
                  </w:r>
                </w:p>
              </w:tc>
              <w:tc>
                <w:tcPr>
                  <w:tcW w:w="980" w:type="dxa"/>
                  <w:vAlign w:val="center"/>
                </w:tcPr>
                <w:p>
                  <w:pPr>
                    <w:jc w:val="center"/>
                    <w:rPr>
                      <w:b/>
                      <w:bCs/>
                      <w:szCs w:val="21"/>
                    </w:rPr>
                  </w:pPr>
                  <w:r>
                    <w:rPr>
                      <w:b/>
                      <w:bCs/>
                      <w:szCs w:val="21"/>
                    </w:rPr>
                    <w:t>SS</w:t>
                  </w:r>
                </w:p>
              </w:tc>
              <w:tc>
                <w:tcPr>
                  <w:tcW w:w="981" w:type="dxa"/>
                  <w:vAlign w:val="center"/>
                </w:tcPr>
                <w:p>
                  <w:pPr>
                    <w:jc w:val="center"/>
                    <w:rPr>
                      <w:b/>
                      <w:bCs/>
                      <w:szCs w:val="21"/>
                    </w:rPr>
                  </w:pPr>
                  <w:r>
                    <w:rPr>
                      <w:b/>
                      <w:bCs/>
                      <w:szCs w:val="21"/>
                    </w:rPr>
                    <w:t>氨氮</w:t>
                  </w:r>
                </w:p>
              </w:tc>
              <w:tc>
                <w:tcPr>
                  <w:tcW w:w="981" w:type="dxa"/>
                  <w:vAlign w:val="center"/>
                </w:tcPr>
                <w:p>
                  <w:pPr>
                    <w:jc w:val="center"/>
                    <w:rPr>
                      <w:b/>
                      <w:bCs/>
                      <w:szCs w:val="21"/>
                    </w:rPr>
                  </w:pPr>
                  <w:r>
                    <w:rPr>
                      <w:b/>
                      <w:bCs/>
                      <w:szCs w:val="21"/>
                    </w:rPr>
                    <w:t>总磷</w:t>
                  </w:r>
                </w:p>
              </w:tc>
              <w:tc>
                <w:tcPr>
                  <w:tcW w:w="992" w:type="dxa"/>
                  <w:vAlign w:val="center"/>
                </w:tcPr>
                <w:p>
                  <w:pPr>
                    <w:jc w:val="center"/>
                    <w:rPr>
                      <w:b/>
                      <w:bCs/>
                      <w:szCs w:val="21"/>
                    </w:rPr>
                  </w:pPr>
                  <w:r>
                    <w:rPr>
                      <w:b/>
                      <w:bCs/>
                      <w:szCs w:val="21"/>
                    </w:rPr>
                    <w:t>总氮</w:t>
                  </w:r>
                </w:p>
              </w:tc>
              <w:tc>
                <w:tcPr>
                  <w:tcW w:w="967" w:type="dxa"/>
                  <w:vAlign w:val="center"/>
                </w:tcPr>
                <w:p>
                  <w:pPr>
                    <w:jc w:val="center"/>
                    <w:rPr>
                      <w:b/>
                      <w:bCs/>
                      <w:szCs w:val="21"/>
                    </w:rPr>
                  </w:pPr>
                  <w:r>
                    <w:rPr>
                      <w:b/>
                      <w:bCs/>
                      <w:szCs w:val="21"/>
                    </w:rPr>
                    <w:t>BOD5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vAlign w:val="center"/>
                </w:tcPr>
                <w:p>
                  <w:pPr>
                    <w:jc w:val="center"/>
                    <w:rPr>
                      <w:szCs w:val="21"/>
                    </w:rPr>
                  </w:pPr>
                  <w:r>
                    <w:rPr>
                      <w:szCs w:val="21"/>
                    </w:rPr>
                    <w:t>污水处理厂排放标准</w:t>
                  </w:r>
                </w:p>
              </w:tc>
              <w:tc>
                <w:tcPr>
                  <w:tcW w:w="979" w:type="dxa"/>
                  <w:vAlign w:val="center"/>
                </w:tcPr>
                <w:p>
                  <w:pPr>
                    <w:jc w:val="center"/>
                    <w:rPr>
                      <w:szCs w:val="21"/>
                    </w:rPr>
                  </w:pPr>
                  <w:r>
                    <w:rPr>
                      <w:szCs w:val="21"/>
                    </w:rPr>
                    <w:t>6-9</w:t>
                  </w:r>
                </w:p>
              </w:tc>
              <w:tc>
                <w:tcPr>
                  <w:tcW w:w="973" w:type="dxa"/>
                  <w:vAlign w:val="center"/>
                </w:tcPr>
                <w:p>
                  <w:pPr>
                    <w:jc w:val="center"/>
                    <w:rPr>
                      <w:szCs w:val="21"/>
                    </w:rPr>
                  </w:pPr>
                  <w:r>
                    <w:rPr>
                      <w:szCs w:val="21"/>
                    </w:rPr>
                    <w:t>50</w:t>
                  </w:r>
                </w:p>
              </w:tc>
              <w:tc>
                <w:tcPr>
                  <w:tcW w:w="980" w:type="dxa"/>
                  <w:vAlign w:val="center"/>
                </w:tcPr>
                <w:p>
                  <w:pPr>
                    <w:jc w:val="center"/>
                    <w:rPr>
                      <w:szCs w:val="21"/>
                    </w:rPr>
                  </w:pPr>
                  <w:r>
                    <w:rPr>
                      <w:szCs w:val="21"/>
                    </w:rPr>
                    <w:t>10</w:t>
                  </w:r>
                </w:p>
              </w:tc>
              <w:tc>
                <w:tcPr>
                  <w:tcW w:w="981" w:type="dxa"/>
                  <w:vAlign w:val="center"/>
                </w:tcPr>
                <w:p>
                  <w:pPr>
                    <w:jc w:val="center"/>
                    <w:rPr>
                      <w:szCs w:val="21"/>
                    </w:rPr>
                  </w:pPr>
                  <w:r>
                    <w:rPr>
                      <w:szCs w:val="21"/>
                    </w:rPr>
                    <w:t>5（8）*</w:t>
                  </w:r>
                </w:p>
              </w:tc>
              <w:tc>
                <w:tcPr>
                  <w:tcW w:w="981" w:type="dxa"/>
                  <w:vAlign w:val="center"/>
                </w:tcPr>
                <w:p>
                  <w:pPr>
                    <w:jc w:val="center"/>
                    <w:rPr>
                      <w:szCs w:val="21"/>
                    </w:rPr>
                  </w:pPr>
                  <w:r>
                    <w:rPr>
                      <w:szCs w:val="21"/>
                    </w:rPr>
                    <w:t>0.5</w:t>
                  </w:r>
                </w:p>
              </w:tc>
              <w:tc>
                <w:tcPr>
                  <w:tcW w:w="992" w:type="dxa"/>
                  <w:vAlign w:val="center"/>
                </w:tcPr>
                <w:p>
                  <w:pPr>
                    <w:jc w:val="center"/>
                    <w:rPr>
                      <w:szCs w:val="21"/>
                    </w:rPr>
                  </w:pPr>
                  <w:r>
                    <w:rPr>
                      <w:szCs w:val="21"/>
                    </w:rPr>
                    <w:t>15</w:t>
                  </w:r>
                </w:p>
              </w:tc>
              <w:tc>
                <w:tcPr>
                  <w:tcW w:w="967" w:type="dxa"/>
                  <w:vAlign w:val="center"/>
                </w:tcPr>
                <w:p>
                  <w:pPr>
                    <w:jc w:val="center"/>
                    <w:rPr>
                      <w:szCs w:val="21"/>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vAlign w:val="center"/>
                </w:tcPr>
                <w:p>
                  <w:pPr>
                    <w:jc w:val="center"/>
                    <w:rPr>
                      <w:szCs w:val="21"/>
                    </w:rPr>
                  </w:pPr>
                  <w:r>
                    <w:rPr>
                      <w:szCs w:val="21"/>
                    </w:rPr>
                    <w:t>依据</w:t>
                  </w:r>
                </w:p>
              </w:tc>
              <w:tc>
                <w:tcPr>
                  <w:tcW w:w="6853" w:type="dxa"/>
                  <w:gridSpan w:val="7"/>
                  <w:vAlign w:val="center"/>
                </w:tcPr>
                <w:p>
                  <w:pPr>
                    <w:jc w:val="center"/>
                    <w:rPr>
                      <w:szCs w:val="21"/>
                    </w:rPr>
                  </w:pPr>
                  <w:r>
                    <w:rPr>
                      <w:rFonts w:hint="eastAsia"/>
                      <w:color w:val="0000FF"/>
                      <w:szCs w:val="21"/>
                      <w:lang w:eastAsia="zh-CN"/>
                    </w:rPr>
                    <w:t>（</w:t>
                  </w:r>
                  <w:r>
                    <w:rPr>
                      <w:szCs w:val="21"/>
                    </w:rPr>
                    <w:t>GB18918-2002</w:t>
                  </w:r>
                  <w:r>
                    <w:rPr>
                      <w:rFonts w:hint="eastAsia"/>
                      <w:color w:val="0000FF"/>
                      <w:szCs w:val="21"/>
                      <w:lang w:eastAsia="zh-CN"/>
                    </w:rPr>
                    <w:t>）</w:t>
                  </w:r>
                  <w:r>
                    <w:rPr>
                      <w:szCs w:val="21"/>
                    </w:rPr>
                    <w:t>一级标准A标准</w:t>
                  </w:r>
                </w:p>
              </w:tc>
            </w:tr>
          </w:tbl>
          <w:p>
            <w:pPr>
              <w:spacing w:line="360" w:lineRule="auto"/>
              <w:ind w:firstLine="420" w:firstLineChars="200"/>
            </w:pPr>
            <w:r>
              <w:t>注*：氨氮排放浓度标准5（8）括号外数值为＞12℃的控制指标，括号内数值为≤12℃的控制指标。</w:t>
            </w:r>
          </w:p>
          <w:p>
            <w:pPr>
              <w:spacing w:line="500" w:lineRule="exact"/>
              <w:ind w:firstLine="480" w:firstLineChars="200"/>
              <w:rPr>
                <w:sz w:val="24"/>
              </w:rPr>
            </w:pPr>
            <w:r>
              <w:rPr>
                <w:sz w:val="24"/>
              </w:rPr>
              <w:t>3、噪声排放标准</w:t>
            </w:r>
          </w:p>
          <w:p>
            <w:pPr>
              <w:spacing w:line="500" w:lineRule="exact"/>
              <w:ind w:firstLine="480" w:firstLineChars="200"/>
              <w:rPr>
                <w:sz w:val="24"/>
              </w:rPr>
            </w:pPr>
            <w:r>
              <w:rPr>
                <w:sz w:val="24"/>
              </w:rPr>
              <w:t>本项目运营期各厂界噪声排放执行《工业企业厂界环境噪声排放标准》（GB12348-2008）表1中</w:t>
            </w:r>
            <w:r>
              <w:rPr>
                <w:rFonts w:hint="eastAsia"/>
                <w:sz w:val="24"/>
              </w:rPr>
              <w:t>3</w:t>
            </w:r>
            <w:r>
              <w:rPr>
                <w:sz w:val="24"/>
              </w:rPr>
              <w:t>类标准。具体标准限值见下表：</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b/>
                <w:bCs/>
              </w:rPr>
            </w:pPr>
            <w:r>
              <w:rPr>
                <w:rFonts w:hint="eastAsia"/>
                <w:b/>
                <w:bCs/>
              </w:rPr>
              <w:t>表3-1</w:t>
            </w:r>
            <w:r>
              <w:rPr>
                <w:rFonts w:hint="eastAsia"/>
                <w:b/>
                <w:bCs/>
                <w:color w:val="0000FF"/>
                <w:lang w:val="en-US" w:eastAsia="zh-CN"/>
              </w:rPr>
              <w:t>2</w:t>
            </w:r>
            <w:r>
              <w:rPr>
                <w:rFonts w:hint="eastAsia"/>
                <w:b/>
                <w:bCs/>
              </w:rPr>
              <w:t>噪声排放标准限值表</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95"/>
              <w:gridCol w:w="2844"/>
              <w:gridCol w:w="896"/>
              <w:gridCol w:w="940"/>
              <w:gridCol w:w="999"/>
              <w:gridCol w:w="10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95" w:type="dxa"/>
                  <w:vMerge w:val="restart"/>
                  <w:vAlign w:val="center"/>
                </w:tcPr>
                <w:p>
                  <w:pPr>
                    <w:jc w:val="center"/>
                    <w:rPr>
                      <w:b/>
                      <w:bCs/>
                      <w:szCs w:val="21"/>
                    </w:rPr>
                  </w:pPr>
                  <w:r>
                    <w:rPr>
                      <w:b/>
                      <w:bCs/>
                      <w:szCs w:val="21"/>
                    </w:rPr>
                    <w:t>厂界名</w:t>
                  </w:r>
                </w:p>
              </w:tc>
              <w:tc>
                <w:tcPr>
                  <w:tcW w:w="2844" w:type="dxa"/>
                  <w:vMerge w:val="restart"/>
                  <w:vAlign w:val="center"/>
                </w:tcPr>
                <w:p>
                  <w:pPr>
                    <w:jc w:val="center"/>
                    <w:rPr>
                      <w:b/>
                      <w:bCs/>
                      <w:szCs w:val="21"/>
                    </w:rPr>
                  </w:pPr>
                  <w:r>
                    <w:rPr>
                      <w:b/>
                      <w:bCs/>
                      <w:szCs w:val="21"/>
                    </w:rPr>
                    <w:t>执行标准</w:t>
                  </w:r>
                </w:p>
              </w:tc>
              <w:tc>
                <w:tcPr>
                  <w:tcW w:w="896" w:type="dxa"/>
                  <w:vMerge w:val="restart"/>
                  <w:vAlign w:val="center"/>
                </w:tcPr>
                <w:p>
                  <w:pPr>
                    <w:jc w:val="center"/>
                    <w:rPr>
                      <w:b/>
                      <w:bCs/>
                      <w:szCs w:val="21"/>
                    </w:rPr>
                  </w:pPr>
                  <w:r>
                    <w:rPr>
                      <w:b/>
                      <w:bCs/>
                      <w:szCs w:val="21"/>
                    </w:rPr>
                    <w:t>级别</w:t>
                  </w:r>
                </w:p>
              </w:tc>
              <w:tc>
                <w:tcPr>
                  <w:tcW w:w="940" w:type="dxa"/>
                  <w:vMerge w:val="restart"/>
                  <w:vAlign w:val="center"/>
                </w:tcPr>
                <w:p>
                  <w:pPr>
                    <w:jc w:val="center"/>
                    <w:rPr>
                      <w:b/>
                      <w:bCs/>
                      <w:szCs w:val="21"/>
                    </w:rPr>
                  </w:pPr>
                  <w:r>
                    <w:rPr>
                      <w:b/>
                      <w:bCs/>
                      <w:szCs w:val="21"/>
                    </w:rPr>
                    <w:t>单位</w:t>
                  </w:r>
                </w:p>
              </w:tc>
              <w:tc>
                <w:tcPr>
                  <w:tcW w:w="1999" w:type="dxa"/>
                  <w:gridSpan w:val="2"/>
                  <w:vAlign w:val="center"/>
                </w:tcPr>
                <w:p>
                  <w:pPr>
                    <w:jc w:val="center"/>
                    <w:rPr>
                      <w:b/>
                      <w:bCs/>
                      <w:szCs w:val="21"/>
                    </w:rPr>
                  </w:pPr>
                  <w:r>
                    <w:rPr>
                      <w:b/>
                      <w:bCs/>
                      <w:szCs w:val="21"/>
                    </w:rPr>
                    <w:t>标准限值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95" w:type="dxa"/>
                  <w:vMerge w:val="continue"/>
                  <w:vAlign w:val="center"/>
                </w:tcPr>
                <w:p>
                  <w:pPr>
                    <w:spacing w:line="320" w:lineRule="exact"/>
                    <w:jc w:val="center"/>
                    <w:rPr>
                      <w:b/>
                      <w:bCs/>
                      <w:szCs w:val="21"/>
                    </w:rPr>
                  </w:pPr>
                </w:p>
              </w:tc>
              <w:tc>
                <w:tcPr>
                  <w:tcW w:w="2844" w:type="dxa"/>
                  <w:vMerge w:val="continue"/>
                  <w:vAlign w:val="center"/>
                </w:tcPr>
                <w:p>
                  <w:pPr>
                    <w:spacing w:line="320" w:lineRule="exact"/>
                    <w:jc w:val="center"/>
                    <w:rPr>
                      <w:b/>
                      <w:bCs/>
                      <w:szCs w:val="21"/>
                    </w:rPr>
                  </w:pPr>
                </w:p>
              </w:tc>
              <w:tc>
                <w:tcPr>
                  <w:tcW w:w="896" w:type="dxa"/>
                  <w:vMerge w:val="continue"/>
                  <w:vAlign w:val="center"/>
                </w:tcPr>
                <w:p>
                  <w:pPr>
                    <w:spacing w:line="320" w:lineRule="exact"/>
                    <w:jc w:val="center"/>
                    <w:rPr>
                      <w:b/>
                      <w:bCs/>
                      <w:szCs w:val="21"/>
                    </w:rPr>
                  </w:pPr>
                </w:p>
              </w:tc>
              <w:tc>
                <w:tcPr>
                  <w:tcW w:w="940" w:type="dxa"/>
                  <w:vMerge w:val="continue"/>
                  <w:vAlign w:val="center"/>
                </w:tcPr>
                <w:p>
                  <w:pPr>
                    <w:spacing w:line="320" w:lineRule="exact"/>
                    <w:jc w:val="center"/>
                    <w:rPr>
                      <w:b/>
                      <w:bCs/>
                      <w:szCs w:val="21"/>
                    </w:rPr>
                  </w:pPr>
                </w:p>
              </w:tc>
              <w:tc>
                <w:tcPr>
                  <w:tcW w:w="999" w:type="dxa"/>
                  <w:vAlign w:val="center"/>
                </w:tcPr>
                <w:p>
                  <w:pPr>
                    <w:jc w:val="center"/>
                    <w:rPr>
                      <w:b/>
                      <w:bCs/>
                      <w:szCs w:val="21"/>
                    </w:rPr>
                  </w:pPr>
                  <w:r>
                    <w:rPr>
                      <w:b/>
                      <w:bCs/>
                      <w:szCs w:val="21"/>
                    </w:rPr>
                    <w:t>昼间</w:t>
                  </w:r>
                </w:p>
              </w:tc>
              <w:tc>
                <w:tcPr>
                  <w:tcW w:w="1000" w:type="dxa"/>
                  <w:vAlign w:val="center"/>
                </w:tcPr>
                <w:p>
                  <w:pPr>
                    <w:jc w:val="center"/>
                    <w:rPr>
                      <w:b/>
                      <w:bCs/>
                      <w:szCs w:val="21"/>
                    </w:rPr>
                  </w:pPr>
                  <w:r>
                    <w:rPr>
                      <w:b/>
                      <w:bCs/>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95" w:type="dxa"/>
                  <w:vAlign w:val="center"/>
                </w:tcPr>
                <w:p>
                  <w:pPr>
                    <w:spacing w:line="320" w:lineRule="exact"/>
                    <w:jc w:val="center"/>
                    <w:rPr>
                      <w:szCs w:val="21"/>
                    </w:rPr>
                  </w:pPr>
                  <w:r>
                    <w:rPr>
                      <w:szCs w:val="21"/>
                    </w:rPr>
                    <w:t>各厂界</w:t>
                  </w:r>
                </w:p>
              </w:tc>
              <w:tc>
                <w:tcPr>
                  <w:tcW w:w="2844" w:type="dxa"/>
                  <w:vAlign w:val="center"/>
                </w:tcPr>
                <w:p>
                  <w:pPr>
                    <w:spacing w:line="320" w:lineRule="exact"/>
                    <w:jc w:val="center"/>
                    <w:rPr>
                      <w:szCs w:val="21"/>
                    </w:rPr>
                  </w:pPr>
                  <w:r>
                    <w:rPr>
                      <w:szCs w:val="21"/>
                    </w:rPr>
                    <w:t>《工业企业厂界环境噪声排放标准》（GB12348-2008）</w:t>
                  </w:r>
                </w:p>
              </w:tc>
              <w:tc>
                <w:tcPr>
                  <w:tcW w:w="896" w:type="dxa"/>
                  <w:vAlign w:val="center"/>
                </w:tcPr>
                <w:p>
                  <w:pPr>
                    <w:jc w:val="center"/>
                    <w:rPr>
                      <w:szCs w:val="21"/>
                    </w:rPr>
                  </w:pPr>
                  <w:r>
                    <w:rPr>
                      <w:rFonts w:hint="eastAsia"/>
                      <w:szCs w:val="21"/>
                    </w:rPr>
                    <w:t>表1中3</w:t>
                  </w:r>
                  <w:r>
                    <w:rPr>
                      <w:szCs w:val="21"/>
                    </w:rPr>
                    <w:t>类</w:t>
                  </w:r>
                </w:p>
              </w:tc>
              <w:tc>
                <w:tcPr>
                  <w:tcW w:w="940" w:type="dxa"/>
                  <w:vAlign w:val="center"/>
                </w:tcPr>
                <w:p>
                  <w:pPr>
                    <w:jc w:val="center"/>
                    <w:rPr>
                      <w:szCs w:val="21"/>
                    </w:rPr>
                  </w:pPr>
                  <w:r>
                    <w:rPr>
                      <w:szCs w:val="21"/>
                    </w:rPr>
                    <w:t>dB（A）</w:t>
                  </w:r>
                </w:p>
              </w:tc>
              <w:tc>
                <w:tcPr>
                  <w:tcW w:w="999" w:type="dxa"/>
                  <w:vAlign w:val="center"/>
                </w:tcPr>
                <w:p>
                  <w:pPr>
                    <w:jc w:val="center"/>
                    <w:rPr>
                      <w:szCs w:val="21"/>
                    </w:rPr>
                  </w:pPr>
                  <w:r>
                    <w:rPr>
                      <w:rFonts w:hint="eastAsia"/>
                      <w:szCs w:val="21"/>
                    </w:rPr>
                    <w:t>65</w:t>
                  </w:r>
                </w:p>
              </w:tc>
              <w:tc>
                <w:tcPr>
                  <w:tcW w:w="1000" w:type="dxa"/>
                  <w:vAlign w:val="center"/>
                </w:tcPr>
                <w:p>
                  <w:pPr>
                    <w:jc w:val="center"/>
                    <w:rPr>
                      <w:szCs w:val="21"/>
                    </w:rPr>
                  </w:pPr>
                  <w:r>
                    <w:rPr>
                      <w:rFonts w:hint="eastAsia"/>
                      <w:szCs w:val="21"/>
                    </w:rPr>
                    <w:t>55</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textAlignment w:val="auto"/>
              <w:rPr>
                <w:rFonts w:hint="eastAsia"/>
                <w:sz w:val="24"/>
              </w:rPr>
            </w:pPr>
            <w:r>
              <w:rPr>
                <w:rFonts w:hint="eastAsia"/>
                <w:sz w:val="24"/>
                <w:lang w:val="en-US" w:eastAsia="zh-CN"/>
              </w:rPr>
              <w:t>4、</w:t>
            </w:r>
            <w:r>
              <w:rPr>
                <w:rFonts w:hint="eastAsia"/>
                <w:sz w:val="24"/>
              </w:rPr>
              <w:t>固体废弃物控制标准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80" w:firstLineChars="200"/>
              <w:textAlignment w:val="auto"/>
            </w:pPr>
            <w:r>
              <w:rPr>
                <w:rFonts w:hint="eastAsia"/>
                <w:sz w:val="24"/>
              </w:rPr>
              <w:t>一般固体废弃物贮存、处置执行《一般工业固体废物贮存和填埋污染控制标准》（GB18599-2020）；危险废物执行《危险废物贮存污染控制标准》（GB18597-2023）。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454" w:type="dxa"/>
            <w:vAlign w:val="center"/>
          </w:tcPr>
          <w:p>
            <w:pPr>
              <w:adjustRightInd w:val="0"/>
              <w:snapToGrid w:val="0"/>
              <w:jc w:val="center"/>
              <w:rPr>
                <w:rFonts w:ascii="宋体" w:hAnsi="宋体" w:cs="宋体"/>
                <w:kern w:val="0"/>
                <w:sz w:val="24"/>
              </w:rPr>
            </w:pPr>
            <w:r>
              <w:rPr>
                <w:rFonts w:hint="eastAsia" w:ascii="宋体" w:hAnsi="宋体" w:cs="宋体"/>
                <w:kern w:val="0"/>
                <w:sz w:val="24"/>
              </w:rPr>
              <w:t>总量</w:t>
            </w:r>
          </w:p>
          <w:p>
            <w:pPr>
              <w:adjustRightInd w:val="0"/>
              <w:snapToGrid w:val="0"/>
              <w:jc w:val="center"/>
              <w:rPr>
                <w:rFonts w:ascii="宋体" w:hAnsi="宋体" w:cs="宋体"/>
                <w:kern w:val="0"/>
                <w:sz w:val="24"/>
              </w:rPr>
            </w:pPr>
            <w:r>
              <w:rPr>
                <w:rFonts w:hint="eastAsia" w:ascii="宋体" w:hAnsi="宋体" w:cs="宋体"/>
                <w:kern w:val="0"/>
                <w:sz w:val="24"/>
              </w:rPr>
              <w:t>控制</w:t>
            </w:r>
          </w:p>
          <w:p>
            <w:pPr>
              <w:adjustRightInd w:val="0"/>
              <w:snapToGrid w:val="0"/>
              <w:jc w:val="center"/>
              <w:rPr>
                <w:rFonts w:ascii="宋体" w:hAnsi="宋体" w:cs="宋体"/>
                <w:kern w:val="0"/>
                <w:sz w:val="24"/>
              </w:rPr>
            </w:pPr>
            <w:r>
              <w:rPr>
                <w:rFonts w:hint="eastAsia" w:ascii="宋体" w:hAnsi="宋体" w:cs="宋体"/>
                <w:kern w:val="0"/>
                <w:sz w:val="24"/>
              </w:rPr>
              <w:t>指标</w:t>
            </w:r>
          </w:p>
        </w:tc>
        <w:tc>
          <w:tcPr>
            <w:tcW w:w="8607" w:type="dxa"/>
          </w:tcPr>
          <w:p>
            <w:pPr>
              <w:keepNext w:val="0"/>
              <w:keepLines w:val="0"/>
              <w:pageBreakBefore w:val="0"/>
              <w:widowControl w:val="0"/>
              <w:kinsoku/>
              <w:wordWrap/>
              <w:overflowPunct/>
              <w:topLinePunct w:val="0"/>
              <w:autoSpaceDE/>
              <w:autoSpaceDN/>
              <w:bidi w:val="0"/>
              <w:adjustRightInd w:val="0"/>
              <w:snapToGrid w:val="0"/>
              <w:spacing w:line="500" w:lineRule="exact"/>
              <w:ind w:firstLine="482" w:firstLineChars="200"/>
              <w:textAlignment w:val="auto"/>
              <w:rPr>
                <w:rFonts w:ascii="宋体" w:hAnsi="宋体" w:cs="宋体"/>
                <w:b/>
                <w:bCs/>
                <w:kern w:val="0"/>
                <w:sz w:val="24"/>
              </w:rPr>
            </w:pPr>
            <w:r>
              <w:rPr>
                <w:rFonts w:hint="eastAsia" w:ascii="宋体" w:hAnsi="宋体" w:cs="宋体"/>
                <w:b/>
                <w:bCs/>
                <w:kern w:val="0"/>
                <w:sz w:val="24"/>
              </w:rPr>
              <w:t>1、总量控制因子</w:t>
            </w:r>
          </w:p>
          <w:p>
            <w:pPr>
              <w:spacing w:line="500" w:lineRule="exact"/>
              <w:ind w:firstLine="480" w:firstLineChars="200"/>
              <w:rPr>
                <w:sz w:val="24"/>
              </w:rPr>
            </w:pPr>
            <w:r>
              <w:rPr>
                <w:rFonts w:hint="eastAsia"/>
                <w:sz w:val="24"/>
              </w:rPr>
              <w:t>根据《国务院关于印发</w:t>
            </w:r>
            <w:r>
              <w:rPr>
                <w:rFonts w:hint="eastAsia"/>
                <w:sz w:val="24"/>
                <w:lang w:eastAsia="zh-CN"/>
              </w:rPr>
              <w:t>“</w:t>
            </w:r>
            <w:r>
              <w:rPr>
                <w:rFonts w:hint="eastAsia"/>
                <w:sz w:val="24"/>
              </w:rPr>
              <w:t>十三五</w:t>
            </w:r>
            <w:r>
              <w:rPr>
                <w:rFonts w:hint="eastAsia"/>
                <w:sz w:val="24"/>
                <w:lang w:eastAsia="zh-CN"/>
              </w:rPr>
              <w:t>”</w:t>
            </w:r>
            <w:r>
              <w:rPr>
                <w:rFonts w:hint="eastAsia"/>
                <w:sz w:val="24"/>
              </w:rPr>
              <w:t>生态环境保护规划的通知》（国发〔2016〕65号），总量控制指标为COD、NH</w:t>
            </w:r>
            <w:r>
              <w:rPr>
                <w:rFonts w:hint="eastAsia"/>
                <w:sz w:val="24"/>
                <w:vertAlign w:val="subscript"/>
              </w:rPr>
              <w:t>3</w:t>
            </w:r>
            <w:r>
              <w:rPr>
                <w:rFonts w:hint="eastAsia"/>
                <w:sz w:val="24"/>
              </w:rPr>
              <w:t>-N、SO</w:t>
            </w:r>
            <w:r>
              <w:rPr>
                <w:rFonts w:hint="eastAsia"/>
                <w:sz w:val="24"/>
                <w:vertAlign w:val="subscript"/>
              </w:rPr>
              <w:t>2</w:t>
            </w:r>
            <w:r>
              <w:rPr>
                <w:rFonts w:hint="eastAsia"/>
                <w:sz w:val="24"/>
              </w:rPr>
              <w:t>、NO</w:t>
            </w:r>
            <w:r>
              <w:rPr>
                <w:rFonts w:hint="eastAsia"/>
                <w:sz w:val="24"/>
                <w:vertAlign w:val="subscript"/>
              </w:rPr>
              <w:t>X</w:t>
            </w:r>
            <w:r>
              <w:rPr>
                <w:rFonts w:hint="eastAsia"/>
                <w:sz w:val="24"/>
              </w:rPr>
              <w:t>，重点地区重点行业VOCs，重点地区总磷、重点地区总氮，结合苏环办〔2011〕71号、泰政规〔2014〕1号等文和本项目排污特征，确定本项目总量控制因子为：</w:t>
            </w:r>
          </w:p>
          <w:p>
            <w:pPr>
              <w:spacing w:line="500" w:lineRule="exact"/>
              <w:ind w:firstLine="480" w:firstLineChars="200"/>
              <w:rPr>
                <w:sz w:val="24"/>
              </w:rPr>
            </w:pPr>
            <w:r>
              <w:rPr>
                <w:sz w:val="24"/>
              </w:rPr>
              <w:t>大气污染物总量控制因子：</w:t>
            </w:r>
            <w:r>
              <w:rPr>
                <w:rFonts w:hint="eastAsia"/>
                <w:sz w:val="24"/>
              </w:rPr>
              <w:t>非甲烷总烃、颗粒物</w:t>
            </w:r>
          </w:p>
          <w:p>
            <w:pPr>
              <w:spacing w:line="500" w:lineRule="exact"/>
              <w:ind w:firstLine="480" w:firstLineChars="200"/>
              <w:rPr>
                <w:sz w:val="24"/>
              </w:rPr>
            </w:pPr>
            <w:r>
              <w:rPr>
                <w:sz w:val="24"/>
              </w:rPr>
              <w:t>水污染物总量控制因子：COD</w:t>
            </w:r>
            <w:r>
              <w:rPr>
                <w:sz w:val="24"/>
                <w:vertAlign w:val="subscript"/>
              </w:rPr>
              <w:t>cr</w:t>
            </w:r>
            <w:r>
              <w:rPr>
                <w:sz w:val="24"/>
              </w:rPr>
              <w:t>、NH</w:t>
            </w:r>
            <w:r>
              <w:rPr>
                <w:sz w:val="24"/>
                <w:vertAlign w:val="subscript"/>
              </w:rPr>
              <w:t>3</w:t>
            </w:r>
            <w:r>
              <w:rPr>
                <w:sz w:val="24"/>
              </w:rPr>
              <w:t>-N</w:t>
            </w:r>
            <w:r>
              <w:rPr>
                <w:rStyle w:val="40"/>
                <w:sz w:val="24"/>
              </w:rPr>
              <w:t>、TP</w:t>
            </w:r>
            <w:r>
              <w:rPr>
                <w:rStyle w:val="40"/>
                <w:rFonts w:hint="eastAsia"/>
                <w:sz w:val="24"/>
              </w:rPr>
              <w:t>、TN</w:t>
            </w:r>
            <w:r>
              <w:rPr>
                <w:sz w:val="24"/>
              </w:rPr>
              <w:t>；</w:t>
            </w:r>
          </w:p>
          <w:p>
            <w:pPr>
              <w:spacing w:line="500" w:lineRule="exact"/>
              <w:ind w:firstLine="480" w:firstLineChars="200"/>
              <w:rPr>
                <w:sz w:val="24"/>
              </w:rPr>
            </w:pPr>
            <w:r>
              <w:rPr>
                <w:sz w:val="24"/>
              </w:rPr>
              <w:t>固体废物总量控制因子：固废零排放。</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2" w:firstLineChars="200"/>
              <w:jc w:val="left"/>
              <w:textAlignment w:val="auto"/>
              <w:rPr>
                <w:b/>
                <w:sz w:val="24"/>
              </w:rPr>
            </w:pPr>
            <w:r>
              <w:rPr>
                <w:rFonts w:hint="eastAsia"/>
                <w:b/>
                <w:color w:val="0000FF"/>
                <w:sz w:val="24"/>
                <w:lang w:val="en-US" w:eastAsia="zh-CN"/>
              </w:rPr>
              <w:t>2、</w:t>
            </w:r>
            <w:r>
              <w:rPr>
                <w:b/>
                <w:sz w:val="24"/>
              </w:rPr>
              <w:t>总量控制指标</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b/>
                <w:bCs/>
              </w:rPr>
            </w:pPr>
            <w:r>
              <w:rPr>
                <w:rFonts w:hint="eastAsia"/>
                <w:b/>
                <w:bCs/>
              </w:rPr>
              <w:t>表3-1</w:t>
            </w:r>
            <w:r>
              <w:rPr>
                <w:rFonts w:hint="eastAsia"/>
                <w:b/>
                <w:bCs/>
                <w:color w:val="0000FF"/>
                <w:lang w:val="en-US" w:eastAsia="zh-CN"/>
              </w:rPr>
              <w:t>3</w:t>
            </w:r>
            <w:r>
              <w:rPr>
                <w:rFonts w:hint="eastAsia"/>
                <w:b/>
                <w:bCs/>
              </w:rPr>
              <w:t>项目污染物排放总量控制指标表（单位t/a）</w:t>
            </w:r>
          </w:p>
          <w:tbl>
            <w:tblPr>
              <w:tblStyle w:val="33"/>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1739"/>
              <w:gridCol w:w="1174"/>
              <w:gridCol w:w="1213"/>
              <w:gridCol w:w="1178"/>
              <w:gridCol w:w="17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808" w:type="pct"/>
                  <w:vMerge w:val="restart"/>
                  <w:vAlign w:val="center"/>
                </w:tcPr>
                <w:p>
                  <w:pPr>
                    <w:widowControl/>
                    <w:jc w:val="center"/>
                    <w:rPr>
                      <w:b/>
                      <w:bCs/>
                      <w:szCs w:val="21"/>
                    </w:rPr>
                  </w:pPr>
                  <w:r>
                    <w:rPr>
                      <w:b/>
                      <w:bCs/>
                      <w:szCs w:val="21"/>
                    </w:rPr>
                    <w:t>类别</w:t>
                  </w:r>
                </w:p>
              </w:tc>
              <w:tc>
                <w:tcPr>
                  <w:tcW w:w="1037" w:type="pct"/>
                  <w:vMerge w:val="restart"/>
                  <w:vAlign w:val="center"/>
                </w:tcPr>
                <w:p>
                  <w:pPr>
                    <w:widowControl/>
                    <w:jc w:val="center"/>
                    <w:rPr>
                      <w:b/>
                      <w:bCs/>
                      <w:szCs w:val="21"/>
                    </w:rPr>
                  </w:pPr>
                  <w:r>
                    <w:rPr>
                      <w:rFonts w:hint="eastAsia"/>
                      <w:b/>
                      <w:bCs/>
                      <w:szCs w:val="21"/>
                    </w:rPr>
                    <w:t>污染物名称</w:t>
                  </w:r>
                </w:p>
              </w:tc>
              <w:tc>
                <w:tcPr>
                  <w:tcW w:w="700" w:type="pct"/>
                  <w:vMerge w:val="restart"/>
                  <w:vAlign w:val="center"/>
                </w:tcPr>
                <w:p>
                  <w:pPr>
                    <w:widowControl/>
                    <w:jc w:val="center"/>
                    <w:rPr>
                      <w:b/>
                      <w:bCs/>
                      <w:szCs w:val="21"/>
                    </w:rPr>
                  </w:pPr>
                  <w:r>
                    <w:rPr>
                      <w:b/>
                      <w:bCs/>
                      <w:szCs w:val="21"/>
                    </w:rPr>
                    <w:t>产生量</w:t>
                  </w:r>
                </w:p>
              </w:tc>
              <w:tc>
                <w:tcPr>
                  <w:tcW w:w="723" w:type="pct"/>
                  <w:vMerge w:val="restart"/>
                  <w:vAlign w:val="center"/>
                </w:tcPr>
                <w:p>
                  <w:pPr>
                    <w:widowControl/>
                    <w:jc w:val="center"/>
                    <w:rPr>
                      <w:b/>
                      <w:bCs/>
                      <w:szCs w:val="21"/>
                    </w:rPr>
                  </w:pPr>
                  <w:r>
                    <w:rPr>
                      <w:b/>
                      <w:bCs/>
                      <w:szCs w:val="21"/>
                    </w:rPr>
                    <w:t>削减量</w:t>
                  </w:r>
                </w:p>
              </w:tc>
              <w:tc>
                <w:tcPr>
                  <w:tcW w:w="1730" w:type="pct"/>
                  <w:gridSpan w:val="2"/>
                  <w:vAlign w:val="center"/>
                </w:tcPr>
                <w:p>
                  <w:pPr>
                    <w:widowControl/>
                    <w:jc w:val="center"/>
                    <w:rPr>
                      <w:b/>
                      <w:bCs/>
                      <w:szCs w:val="21"/>
                    </w:rPr>
                  </w:pPr>
                  <w:r>
                    <w:rPr>
                      <w:b/>
                      <w:bCs/>
                      <w:szCs w:val="21"/>
                    </w:rPr>
                    <w:t>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pct"/>
                  <w:vMerge w:val="continue"/>
                  <w:vAlign w:val="center"/>
                </w:tcPr>
                <w:p>
                  <w:pPr>
                    <w:widowControl/>
                    <w:jc w:val="center"/>
                    <w:rPr>
                      <w:b/>
                      <w:bCs/>
                      <w:szCs w:val="21"/>
                    </w:rPr>
                  </w:pPr>
                </w:p>
              </w:tc>
              <w:tc>
                <w:tcPr>
                  <w:tcW w:w="1037" w:type="pct"/>
                  <w:vMerge w:val="continue"/>
                  <w:vAlign w:val="center"/>
                </w:tcPr>
                <w:p>
                  <w:pPr>
                    <w:widowControl/>
                    <w:jc w:val="center"/>
                    <w:rPr>
                      <w:b/>
                      <w:bCs/>
                      <w:szCs w:val="21"/>
                    </w:rPr>
                  </w:pPr>
                </w:p>
              </w:tc>
              <w:tc>
                <w:tcPr>
                  <w:tcW w:w="700" w:type="pct"/>
                  <w:vMerge w:val="continue"/>
                  <w:vAlign w:val="center"/>
                </w:tcPr>
                <w:p>
                  <w:pPr>
                    <w:widowControl/>
                    <w:jc w:val="center"/>
                    <w:rPr>
                      <w:b/>
                      <w:bCs/>
                      <w:szCs w:val="21"/>
                    </w:rPr>
                  </w:pPr>
                </w:p>
              </w:tc>
              <w:tc>
                <w:tcPr>
                  <w:tcW w:w="723" w:type="pct"/>
                  <w:vMerge w:val="continue"/>
                  <w:vAlign w:val="center"/>
                </w:tcPr>
                <w:p>
                  <w:pPr>
                    <w:widowControl/>
                    <w:jc w:val="center"/>
                    <w:rPr>
                      <w:b/>
                      <w:bCs/>
                      <w:szCs w:val="21"/>
                    </w:rPr>
                  </w:pPr>
                </w:p>
              </w:tc>
              <w:tc>
                <w:tcPr>
                  <w:tcW w:w="702" w:type="pct"/>
                  <w:vAlign w:val="center"/>
                </w:tcPr>
                <w:p>
                  <w:pPr>
                    <w:jc w:val="center"/>
                    <w:rPr>
                      <w:b/>
                      <w:bCs/>
                      <w:szCs w:val="21"/>
                    </w:rPr>
                  </w:pPr>
                  <w:r>
                    <w:rPr>
                      <w:b/>
                      <w:bCs/>
                      <w:szCs w:val="21"/>
                    </w:rPr>
                    <w:t>接管量</w:t>
                  </w:r>
                </w:p>
              </w:tc>
              <w:tc>
                <w:tcPr>
                  <w:tcW w:w="1028" w:type="pct"/>
                  <w:vAlign w:val="center"/>
                </w:tcPr>
                <w:p>
                  <w:pPr>
                    <w:jc w:val="center"/>
                    <w:rPr>
                      <w:b/>
                      <w:bCs/>
                      <w:szCs w:val="21"/>
                    </w:rPr>
                  </w:pPr>
                  <w:r>
                    <w:rPr>
                      <w:b/>
                      <w:bCs/>
                      <w:szCs w:val="21"/>
                    </w:rPr>
                    <w:t>排入外环境的量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pct"/>
                  <w:vMerge w:val="restart"/>
                  <w:vAlign w:val="center"/>
                </w:tcPr>
                <w:p>
                  <w:pPr>
                    <w:jc w:val="center"/>
                    <w:rPr>
                      <w:szCs w:val="21"/>
                    </w:rPr>
                  </w:pPr>
                  <w:r>
                    <w:rPr>
                      <w:rFonts w:hint="eastAsia"/>
                      <w:szCs w:val="21"/>
                    </w:rPr>
                    <w:t>废水</w:t>
                  </w:r>
                </w:p>
              </w:tc>
              <w:tc>
                <w:tcPr>
                  <w:tcW w:w="1037" w:type="pct"/>
                  <w:vAlign w:val="center"/>
                </w:tcPr>
                <w:p>
                  <w:pPr>
                    <w:spacing w:line="280" w:lineRule="exact"/>
                    <w:jc w:val="center"/>
                    <w:rPr>
                      <w:szCs w:val="21"/>
                    </w:rPr>
                  </w:pPr>
                  <w:r>
                    <w:rPr>
                      <w:kern w:val="0"/>
                      <w:szCs w:val="21"/>
                    </w:rPr>
                    <w:t>废水量（m</w:t>
                  </w:r>
                  <w:r>
                    <w:rPr>
                      <w:kern w:val="0"/>
                      <w:szCs w:val="21"/>
                      <w:vertAlign w:val="superscript"/>
                    </w:rPr>
                    <w:t>3</w:t>
                  </w:r>
                  <w:r>
                    <w:rPr>
                      <w:kern w:val="0"/>
                      <w:szCs w:val="21"/>
                    </w:rPr>
                    <w:t>/a）</w:t>
                  </w:r>
                </w:p>
              </w:tc>
              <w:tc>
                <w:tcPr>
                  <w:tcW w:w="700" w:type="pct"/>
                  <w:vAlign w:val="center"/>
                </w:tcPr>
                <w:p>
                  <w:pPr>
                    <w:spacing w:line="320" w:lineRule="exact"/>
                    <w:jc w:val="center"/>
                    <w:rPr>
                      <w:szCs w:val="21"/>
                    </w:rPr>
                  </w:pPr>
                  <w:r>
                    <w:rPr>
                      <w:rFonts w:hint="eastAsia"/>
                      <w:szCs w:val="21"/>
                    </w:rPr>
                    <w:t>300</w:t>
                  </w:r>
                </w:p>
              </w:tc>
              <w:tc>
                <w:tcPr>
                  <w:tcW w:w="723" w:type="pct"/>
                  <w:vAlign w:val="center"/>
                </w:tcPr>
                <w:p>
                  <w:pPr>
                    <w:widowControl/>
                    <w:jc w:val="center"/>
                    <w:rPr>
                      <w:kern w:val="0"/>
                      <w:szCs w:val="21"/>
                      <w:lang w:bidi="ar"/>
                    </w:rPr>
                  </w:pPr>
                  <w:r>
                    <w:rPr>
                      <w:kern w:val="0"/>
                      <w:szCs w:val="21"/>
                    </w:rPr>
                    <w:t>/</w:t>
                  </w:r>
                </w:p>
              </w:tc>
              <w:tc>
                <w:tcPr>
                  <w:tcW w:w="702" w:type="pct"/>
                  <w:vAlign w:val="center"/>
                </w:tcPr>
                <w:p>
                  <w:pPr>
                    <w:spacing w:line="320" w:lineRule="exact"/>
                    <w:jc w:val="center"/>
                    <w:rPr>
                      <w:szCs w:val="21"/>
                    </w:rPr>
                  </w:pPr>
                  <w:r>
                    <w:rPr>
                      <w:rFonts w:hint="eastAsia"/>
                      <w:szCs w:val="21"/>
                    </w:rPr>
                    <w:t>300</w:t>
                  </w:r>
                </w:p>
              </w:tc>
              <w:tc>
                <w:tcPr>
                  <w:tcW w:w="1028" w:type="pct"/>
                  <w:vAlign w:val="center"/>
                </w:tcPr>
                <w:p>
                  <w:pPr>
                    <w:spacing w:line="320" w:lineRule="exact"/>
                    <w:jc w:val="center"/>
                    <w:rPr>
                      <w:szCs w:val="21"/>
                    </w:rPr>
                  </w:pPr>
                  <w:r>
                    <w:rPr>
                      <w:rFonts w:hint="eastAsia"/>
                      <w:szCs w:val="21"/>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pct"/>
                  <w:vMerge w:val="continue"/>
                  <w:vAlign w:val="center"/>
                </w:tcPr>
                <w:p>
                  <w:pPr>
                    <w:jc w:val="center"/>
                    <w:rPr>
                      <w:szCs w:val="21"/>
                    </w:rPr>
                  </w:pPr>
                </w:p>
              </w:tc>
              <w:tc>
                <w:tcPr>
                  <w:tcW w:w="1037" w:type="pct"/>
                  <w:vAlign w:val="center"/>
                </w:tcPr>
                <w:p>
                  <w:pPr>
                    <w:jc w:val="center"/>
                    <w:rPr>
                      <w:szCs w:val="21"/>
                    </w:rPr>
                  </w:pPr>
                  <w:r>
                    <w:rPr>
                      <w:szCs w:val="21"/>
                    </w:rPr>
                    <w:t>COD</w:t>
                  </w:r>
                  <w:r>
                    <w:rPr>
                      <w:szCs w:val="21"/>
                      <w:vertAlign w:val="subscript"/>
                    </w:rPr>
                    <w:t>cr</w:t>
                  </w:r>
                </w:p>
              </w:tc>
              <w:tc>
                <w:tcPr>
                  <w:tcW w:w="700" w:type="pct"/>
                  <w:vAlign w:val="center"/>
                </w:tcPr>
                <w:p>
                  <w:pPr>
                    <w:widowControl/>
                    <w:jc w:val="center"/>
                    <w:textAlignment w:val="center"/>
                    <w:rPr>
                      <w:kern w:val="0"/>
                      <w:szCs w:val="21"/>
                    </w:rPr>
                  </w:pPr>
                  <w:r>
                    <w:rPr>
                      <w:rFonts w:hint="eastAsia"/>
                      <w:szCs w:val="21"/>
                    </w:rPr>
                    <w:t>0.120</w:t>
                  </w:r>
                </w:p>
              </w:tc>
              <w:tc>
                <w:tcPr>
                  <w:tcW w:w="723" w:type="pct"/>
                  <w:vAlign w:val="center"/>
                </w:tcPr>
                <w:p>
                  <w:pPr>
                    <w:widowControl/>
                    <w:jc w:val="center"/>
                    <w:textAlignment w:val="center"/>
                    <w:rPr>
                      <w:kern w:val="0"/>
                      <w:szCs w:val="21"/>
                      <w:lang w:bidi="ar"/>
                    </w:rPr>
                  </w:pPr>
                  <w:r>
                    <w:rPr>
                      <w:kern w:val="0"/>
                      <w:szCs w:val="21"/>
                      <w:lang w:bidi="ar"/>
                    </w:rPr>
                    <w:t>0</w:t>
                  </w:r>
                  <w:r>
                    <w:rPr>
                      <w:rFonts w:hint="eastAsia"/>
                      <w:kern w:val="0"/>
                      <w:szCs w:val="21"/>
                      <w:lang w:bidi="ar"/>
                    </w:rPr>
                    <w:t>.018</w:t>
                  </w:r>
                </w:p>
              </w:tc>
              <w:tc>
                <w:tcPr>
                  <w:tcW w:w="702" w:type="pct"/>
                  <w:vAlign w:val="center"/>
                </w:tcPr>
                <w:p>
                  <w:pPr>
                    <w:widowControl/>
                    <w:jc w:val="center"/>
                    <w:textAlignment w:val="center"/>
                    <w:rPr>
                      <w:kern w:val="0"/>
                      <w:szCs w:val="21"/>
                    </w:rPr>
                  </w:pPr>
                  <w:r>
                    <w:rPr>
                      <w:rFonts w:hint="eastAsia"/>
                      <w:szCs w:val="21"/>
                    </w:rPr>
                    <w:t>0.102</w:t>
                  </w:r>
                </w:p>
              </w:tc>
              <w:tc>
                <w:tcPr>
                  <w:tcW w:w="1028" w:type="pct"/>
                  <w:vAlign w:val="center"/>
                </w:tcPr>
                <w:p>
                  <w:pPr>
                    <w:widowControl/>
                    <w:jc w:val="center"/>
                    <w:textAlignment w:val="center"/>
                    <w:rPr>
                      <w:kern w:val="0"/>
                      <w:szCs w:val="21"/>
                    </w:rPr>
                  </w:pPr>
                  <w:r>
                    <w:rPr>
                      <w:rFonts w:hint="eastAsia"/>
                      <w:szCs w:val="21"/>
                    </w:rPr>
                    <w:t>0.015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pct"/>
                  <w:vMerge w:val="continue"/>
                  <w:vAlign w:val="center"/>
                </w:tcPr>
                <w:p>
                  <w:pPr>
                    <w:jc w:val="center"/>
                    <w:rPr>
                      <w:szCs w:val="21"/>
                    </w:rPr>
                  </w:pPr>
                </w:p>
              </w:tc>
              <w:tc>
                <w:tcPr>
                  <w:tcW w:w="1037" w:type="pct"/>
                  <w:vAlign w:val="center"/>
                </w:tcPr>
                <w:p>
                  <w:pPr>
                    <w:jc w:val="center"/>
                    <w:rPr>
                      <w:szCs w:val="21"/>
                    </w:rPr>
                  </w:pPr>
                  <w:r>
                    <w:rPr>
                      <w:szCs w:val="21"/>
                    </w:rPr>
                    <w:t>SS</w:t>
                  </w:r>
                </w:p>
              </w:tc>
              <w:tc>
                <w:tcPr>
                  <w:tcW w:w="700" w:type="pct"/>
                  <w:vAlign w:val="center"/>
                </w:tcPr>
                <w:p>
                  <w:pPr>
                    <w:widowControl/>
                    <w:jc w:val="center"/>
                    <w:textAlignment w:val="center"/>
                    <w:rPr>
                      <w:szCs w:val="21"/>
                    </w:rPr>
                  </w:pPr>
                  <w:r>
                    <w:rPr>
                      <w:rFonts w:hint="eastAsia"/>
                      <w:kern w:val="0"/>
                      <w:szCs w:val="21"/>
                    </w:rPr>
                    <w:t>0.075</w:t>
                  </w:r>
                </w:p>
              </w:tc>
              <w:tc>
                <w:tcPr>
                  <w:tcW w:w="723" w:type="pct"/>
                  <w:vAlign w:val="center"/>
                </w:tcPr>
                <w:p>
                  <w:pPr>
                    <w:widowControl/>
                    <w:jc w:val="center"/>
                    <w:textAlignment w:val="center"/>
                    <w:rPr>
                      <w:kern w:val="0"/>
                      <w:szCs w:val="21"/>
                      <w:lang w:bidi="ar"/>
                    </w:rPr>
                  </w:pPr>
                  <w:r>
                    <w:rPr>
                      <w:kern w:val="0"/>
                      <w:szCs w:val="21"/>
                      <w:lang w:bidi="ar"/>
                    </w:rPr>
                    <w:t>0</w:t>
                  </w:r>
                  <w:r>
                    <w:rPr>
                      <w:rFonts w:hint="eastAsia"/>
                      <w:kern w:val="0"/>
                      <w:szCs w:val="21"/>
                      <w:lang w:bidi="ar"/>
                    </w:rPr>
                    <w:t>.015</w:t>
                  </w:r>
                </w:p>
              </w:tc>
              <w:tc>
                <w:tcPr>
                  <w:tcW w:w="702" w:type="pct"/>
                  <w:vAlign w:val="center"/>
                </w:tcPr>
                <w:p>
                  <w:pPr>
                    <w:widowControl/>
                    <w:jc w:val="center"/>
                    <w:textAlignment w:val="center"/>
                    <w:rPr>
                      <w:szCs w:val="21"/>
                    </w:rPr>
                  </w:pPr>
                  <w:r>
                    <w:rPr>
                      <w:rFonts w:hint="eastAsia"/>
                      <w:kern w:val="0"/>
                      <w:szCs w:val="21"/>
                    </w:rPr>
                    <w:t>0.060</w:t>
                  </w:r>
                </w:p>
              </w:tc>
              <w:tc>
                <w:tcPr>
                  <w:tcW w:w="1028" w:type="pct"/>
                  <w:vAlign w:val="center"/>
                </w:tcPr>
                <w:p>
                  <w:pPr>
                    <w:widowControl/>
                    <w:jc w:val="center"/>
                    <w:textAlignment w:val="center"/>
                    <w:rPr>
                      <w:szCs w:val="21"/>
                    </w:rPr>
                  </w:pPr>
                  <w:r>
                    <w:rPr>
                      <w:rFonts w:hint="eastAsia"/>
                      <w:kern w:val="0"/>
                      <w:szCs w:val="21"/>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pct"/>
                  <w:vMerge w:val="continue"/>
                  <w:vAlign w:val="center"/>
                </w:tcPr>
                <w:p>
                  <w:pPr>
                    <w:jc w:val="center"/>
                    <w:rPr>
                      <w:szCs w:val="21"/>
                    </w:rPr>
                  </w:pPr>
                </w:p>
              </w:tc>
              <w:tc>
                <w:tcPr>
                  <w:tcW w:w="1037" w:type="pct"/>
                  <w:vAlign w:val="center"/>
                </w:tcPr>
                <w:p>
                  <w:pPr>
                    <w:jc w:val="center"/>
                    <w:rPr>
                      <w:szCs w:val="21"/>
                    </w:rPr>
                  </w:pPr>
                  <w:r>
                    <w:rPr>
                      <w:szCs w:val="21"/>
                    </w:rPr>
                    <w:t>NH</w:t>
                  </w:r>
                  <w:r>
                    <w:rPr>
                      <w:szCs w:val="21"/>
                      <w:vertAlign w:val="subscript"/>
                    </w:rPr>
                    <w:t>3</w:t>
                  </w:r>
                  <w:r>
                    <w:rPr>
                      <w:szCs w:val="21"/>
                    </w:rPr>
                    <w:t>-N</w:t>
                  </w:r>
                </w:p>
              </w:tc>
              <w:tc>
                <w:tcPr>
                  <w:tcW w:w="700" w:type="pct"/>
                  <w:vAlign w:val="center"/>
                </w:tcPr>
                <w:p>
                  <w:pPr>
                    <w:widowControl/>
                    <w:jc w:val="center"/>
                    <w:textAlignment w:val="center"/>
                    <w:rPr>
                      <w:szCs w:val="21"/>
                    </w:rPr>
                  </w:pPr>
                  <w:r>
                    <w:rPr>
                      <w:rFonts w:hint="eastAsia"/>
                      <w:kern w:val="0"/>
                      <w:szCs w:val="21"/>
                    </w:rPr>
                    <w:t>0.0075</w:t>
                  </w:r>
                </w:p>
              </w:tc>
              <w:tc>
                <w:tcPr>
                  <w:tcW w:w="723" w:type="pct"/>
                  <w:vAlign w:val="center"/>
                </w:tcPr>
                <w:p>
                  <w:pPr>
                    <w:widowControl/>
                    <w:jc w:val="center"/>
                    <w:textAlignment w:val="center"/>
                    <w:rPr>
                      <w:kern w:val="0"/>
                      <w:szCs w:val="21"/>
                      <w:lang w:bidi="ar"/>
                    </w:rPr>
                  </w:pPr>
                  <w:r>
                    <w:rPr>
                      <w:kern w:val="0"/>
                      <w:szCs w:val="21"/>
                      <w:lang w:bidi="ar"/>
                    </w:rPr>
                    <w:t>0</w:t>
                  </w:r>
                </w:p>
              </w:tc>
              <w:tc>
                <w:tcPr>
                  <w:tcW w:w="702" w:type="pct"/>
                  <w:vAlign w:val="center"/>
                </w:tcPr>
                <w:p>
                  <w:pPr>
                    <w:widowControl/>
                    <w:jc w:val="center"/>
                    <w:textAlignment w:val="center"/>
                    <w:rPr>
                      <w:szCs w:val="21"/>
                    </w:rPr>
                  </w:pPr>
                  <w:r>
                    <w:rPr>
                      <w:rFonts w:hint="eastAsia"/>
                      <w:kern w:val="0"/>
                      <w:szCs w:val="21"/>
                    </w:rPr>
                    <w:t>0.0075</w:t>
                  </w:r>
                </w:p>
              </w:tc>
              <w:tc>
                <w:tcPr>
                  <w:tcW w:w="1028" w:type="pct"/>
                  <w:vAlign w:val="center"/>
                </w:tcPr>
                <w:p>
                  <w:pPr>
                    <w:widowControl/>
                    <w:jc w:val="center"/>
                    <w:textAlignment w:val="center"/>
                    <w:rPr>
                      <w:szCs w:val="21"/>
                    </w:rPr>
                  </w:pPr>
                  <w:r>
                    <w:rPr>
                      <w:rFonts w:hint="eastAsia"/>
                      <w:kern w:val="0"/>
                      <w:szCs w:val="21"/>
                    </w:rPr>
                    <w:t>0.0015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pct"/>
                  <w:vMerge w:val="continue"/>
                  <w:vAlign w:val="center"/>
                </w:tcPr>
                <w:p>
                  <w:pPr>
                    <w:jc w:val="center"/>
                    <w:rPr>
                      <w:szCs w:val="21"/>
                    </w:rPr>
                  </w:pPr>
                </w:p>
              </w:tc>
              <w:tc>
                <w:tcPr>
                  <w:tcW w:w="1037" w:type="pct"/>
                  <w:vAlign w:val="center"/>
                </w:tcPr>
                <w:p>
                  <w:pPr>
                    <w:jc w:val="center"/>
                    <w:rPr>
                      <w:szCs w:val="21"/>
                    </w:rPr>
                  </w:pPr>
                  <w:r>
                    <w:rPr>
                      <w:szCs w:val="21"/>
                    </w:rPr>
                    <w:t>TP</w:t>
                  </w:r>
                </w:p>
              </w:tc>
              <w:tc>
                <w:tcPr>
                  <w:tcW w:w="700" w:type="pct"/>
                  <w:vAlign w:val="center"/>
                </w:tcPr>
                <w:p>
                  <w:pPr>
                    <w:widowControl/>
                    <w:jc w:val="center"/>
                    <w:textAlignment w:val="center"/>
                    <w:rPr>
                      <w:szCs w:val="21"/>
                    </w:rPr>
                  </w:pPr>
                  <w:r>
                    <w:rPr>
                      <w:kern w:val="0"/>
                      <w:szCs w:val="21"/>
                    </w:rPr>
                    <w:t>0.00</w:t>
                  </w:r>
                  <w:r>
                    <w:rPr>
                      <w:rFonts w:hint="eastAsia"/>
                      <w:kern w:val="0"/>
                      <w:szCs w:val="21"/>
                    </w:rPr>
                    <w:t>09</w:t>
                  </w:r>
                </w:p>
              </w:tc>
              <w:tc>
                <w:tcPr>
                  <w:tcW w:w="723" w:type="pct"/>
                  <w:vAlign w:val="center"/>
                </w:tcPr>
                <w:p>
                  <w:pPr>
                    <w:widowControl/>
                    <w:jc w:val="center"/>
                    <w:textAlignment w:val="center"/>
                    <w:rPr>
                      <w:kern w:val="0"/>
                      <w:szCs w:val="21"/>
                      <w:lang w:bidi="ar"/>
                    </w:rPr>
                  </w:pPr>
                  <w:r>
                    <w:rPr>
                      <w:kern w:val="0"/>
                      <w:szCs w:val="21"/>
                      <w:lang w:bidi="ar"/>
                    </w:rPr>
                    <w:t>0</w:t>
                  </w:r>
                </w:p>
              </w:tc>
              <w:tc>
                <w:tcPr>
                  <w:tcW w:w="702" w:type="pct"/>
                  <w:vAlign w:val="center"/>
                </w:tcPr>
                <w:p>
                  <w:pPr>
                    <w:widowControl/>
                    <w:jc w:val="center"/>
                    <w:textAlignment w:val="center"/>
                    <w:rPr>
                      <w:szCs w:val="21"/>
                    </w:rPr>
                  </w:pPr>
                  <w:r>
                    <w:rPr>
                      <w:kern w:val="0"/>
                      <w:szCs w:val="21"/>
                    </w:rPr>
                    <w:t>0.00</w:t>
                  </w:r>
                  <w:r>
                    <w:rPr>
                      <w:rFonts w:hint="eastAsia"/>
                      <w:kern w:val="0"/>
                      <w:szCs w:val="21"/>
                    </w:rPr>
                    <w:t>09</w:t>
                  </w:r>
                </w:p>
              </w:tc>
              <w:tc>
                <w:tcPr>
                  <w:tcW w:w="1028" w:type="pct"/>
                  <w:vAlign w:val="center"/>
                </w:tcPr>
                <w:p>
                  <w:pPr>
                    <w:widowControl/>
                    <w:jc w:val="center"/>
                    <w:textAlignment w:val="center"/>
                    <w:rPr>
                      <w:szCs w:val="21"/>
                    </w:rPr>
                  </w:pPr>
                  <w:r>
                    <w:rPr>
                      <w:kern w:val="0"/>
                      <w:szCs w:val="21"/>
                    </w:rPr>
                    <w:t>0.00</w:t>
                  </w:r>
                  <w:r>
                    <w:rPr>
                      <w:rFonts w:hint="eastAsia"/>
                      <w:kern w:val="0"/>
                      <w:szCs w:val="21"/>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pct"/>
                  <w:vMerge w:val="continue"/>
                  <w:vAlign w:val="center"/>
                </w:tcPr>
                <w:p>
                  <w:pPr>
                    <w:jc w:val="center"/>
                    <w:rPr>
                      <w:szCs w:val="21"/>
                    </w:rPr>
                  </w:pPr>
                </w:p>
              </w:tc>
              <w:tc>
                <w:tcPr>
                  <w:tcW w:w="1037" w:type="pct"/>
                  <w:vAlign w:val="center"/>
                </w:tcPr>
                <w:p>
                  <w:pPr>
                    <w:jc w:val="center"/>
                    <w:rPr>
                      <w:szCs w:val="21"/>
                    </w:rPr>
                  </w:pPr>
                  <w:r>
                    <w:rPr>
                      <w:szCs w:val="21"/>
                    </w:rPr>
                    <w:t>T</w:t>
                  </w:r>
                  <w:r>
                    <w:rPr>
                      <w:rFonts w:hint="eastAsia"/>
                      <w:szCs w:val="21"/>
                    </w:rPr>
                    <w:t>N</w:t>
                  </w:r>
                </w:p>
              </w:tc>
              <w:tc>
                <w:tcPr>
                  <w:tcW w:w="700" w:type="pct"/>
                  <w:vAlign w:val="center"/>
                </w:tcPr>
                <w:p>
                  <w:pPr>
                    <w:widowControl/>
                    <w:jc w:val="center"/>
                    <w:textAlignment w:val="center"/>
                    <w:rPr>
                      <w:szCs w:val="21"/>
                    </w:rPr>
                  </w:pPr>
                  <w:r>
                    <w:rPr>
                      <w:kern w:val="0"/>
                      <w:szCs w:val="21"/>
                    </w:rPr>
                    <w:t>0.0</w:t>
                  </w:r>
                  <w:r>
                    <w:rPr>
                      <w:rFonts w:hint="eastAsia"/>
                      <w:kern w:val="0"/>
                      <w:szCs w:val="21"/>
                    </w:rPr>
                    <w:t>105</w:t>
                  </w:r>
                </w:p>
              </w:tc>
              <w:tc>
                <w:tcPr>
                  <w:tcW w:w="723" w:type="pct"/>
                  <w:vAlign w:val="center"/>
                </w:tcPr>
                <w:p>
                  <w:pPr>
                    <w:widowControl/>
                    <w:jc w:val="center"/>
                    <w:textAlignment w:val="center"/>
                    <w:rPr>
                      <w:kern w:val="0"/>
                      <w:szCs w:val="21"/>
                      <w:lang w:bidi="ar"/>
                    </w:rPr>
                  </w:pPr>
                  <w:r>
                    <w:rPr>
                      <w:kern w:val="0"/>
                      <w:szCs w:val="21"/>
                      <w:lang w:bidi="ar"/>
                    </w:rPr>
                    <w:t>0</w:t>
                  </w:r>
                </w:p>
              </w:tc>
              <w:tc>
                <w:tcPr>
                  <w:tcW w:w="702" w:type="pct"/>
                  <w:vAlign w:val="center"/>
                </w:tcPr>
                <w:p>
                  <w:pPr>
                    <w:widowControl/>
                    <w:jc w:val="center"/>
                    <w:textAlignment w:val="center"/>
                    <w:rPr>
                      <w:szCs w:val="21"/>
                    </w:rPr>
                  </w:pPr>
                  <w:r>
                    <w:rPr>
                      <w:kern w:val="0"/>
                      <w:szCs w:val="21"/>
                    </w:rPr>
                    <w:t>0.0</w:t>
                  </w:r>
                  <w:r>
                    <w:rPr>
                      <w:rFonts w:hint="eastAsia"/>
                      <w:kern w:val="0"/>
                      <w:szCs w:val="21"/>
                    </w:rPr>
                    <w:t>105</w:t>
                  </w:r>
                </w:p>
              </w:tc>
              <w:tc>
                <w:tcPr>
                  <w:tcW w:w="1028" w:type="pct"/>
                  <w:vAlign w:val="center"/>
                </w:tcPr>
                <w:p>
                  <w:pPr>
                    <w:widowControl/>
                    <w:jc w:val="center"/>
                    <w:textAlignment w:val="center"/>
                    <w:rPr>
                      <w:szCs w:val="21"/>
                    </w:rPr>
                  </w:pPr>
                  <w:r>
                    <w:rPr>
                      <w:kern w:val="0"/>
                      <w:szCs w:val="21"/>
                    </w:rPr>
                    <w:t>0.0</w:t>
                  </w:r>
                  <w:r>
                    <w:rPr>
                      <w:rFonts w:hint="eastAsia"/>
                      <w:kern w:val="0"/>
                      <w:szCs w:val="21"/>
                    </w:rPr>
                    <w:t>045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pct"/>
                  <w:vMerge w:val="restart"/>
                  <w:vAlign w:val="center"/>
                </w:tcPr>
                <w:p>
                  <w:pPr>
                    <w:jc w:val="center"/>
                    <w:rPr>
                      <w:szCs w:val="21"/>
                    </w:rPr>
                  </w:pPr>
                  <w:r>
                    <w:rPr>
                      <w:rFonts w:hint="eastAsia"/>
                      <w:szCs w:val="21"/>
                    </w:rPr>
                    <w:t>有组织</w:t>
                  </w:r>
                  <w:r>
                    <w:rPr>
                      <w:szCs w:val="21"/>
                    </w:rPr>
                    <w:t>废气</w:t>
                  </w:r>
                </w:p>
              </w:tc>
              <w:tc>
                <w:tcPr>
                  <w:tcW w:w="1037" w:type="pct"/>
                  <w:vAlign w:val="center"/>
                </w:tcPr>
                <w:p>
                  <w:pPr>
                    <w:pStyle w:val="16"/>
                    <w:snapToGrid/>
                    <w:spacing w:after="0" w:line="240" w:lineRule="auto"/>
                    <w:jc w:val="center"/>
                    <w:rPr>
                      <w:sz w:val="21"/>
                      <w:szCs w:val="21"/>
                    </w:rPr>
                  </w:pPr>
                  <w:r>
                    <w:rPr>
                      <w:sz w:val="21"/>
                      <w:szCs w:val="21"/>
                    </w:rPr>
                    <w:t>非甲烷总烃</w:t>
                  </w:r>
                </w:p>
              </w:tc>
              <w:tc>
                <w:tcPr>
                  <w:tcW w:w="700" w:type="pct"/>
                  <w:vAlign w:val="center"/>
                </w:tcPr>
                <w:p>
                  <w:pPr>
                    <w:jc w:val="center"/>
                    <w:rPr>
                      <w:szCs w:val="21"/>
                    </w:rPr>
                  </w:pPr>
                  <w:r>
                    <w:rPr>
                      <w:rFonts w:hint="eastAsia"/>
                      <w:szCs w:val="21"/>
                    </w:rPr>
                    <w:t>0.422</w:t>
                  </w:r>
                </w:p>
              </w:tc>
              <w:tc>
                <w:tcPr>
                  <w:tcW w:w="723" w:type="pct"/>
                  <w:vAlign w:val="center"/>
                </w:tcPr>
                <w:p>
                  <w:pPr>
                    <w:widowControl/>
                    <w:jc w:val="center"/>
                    <w:textAlignment w:val="center"/>
                    <w:rPr>
                      <w:kern w:val="0"/>
                      <w:szCs w:val="21"/>
                      <w:lang w:bidi="ar"/>
                    </w:rPr>
                  </w:pPr>
                  <w:r>
                    <w:rPr>
                      <w:rFonts w:hint="eastAsia"/>
                      <w:kern w:val="0"/>
                      <w:szCs w:val="21"/>
                      <w:lang w:bidi="ar"/>
                    </w:rPr>
                    <w:t>0.34935</w:t>
                  </w:r>
                </w:p>
              </w:tc>
              <w:tc>
                <w:tcPr>
                  <w:tcW w:w="1730" w:type="pct"/>
                  <w:gridSpan w:val="2"/>
                  <w:vAlign w:val="center"/>
                </w:tcPr>
                <w:p>
                  <w:pPr>
                    <w:jc w:val="center"/>
                    <w:rPr>
                      <w:szCs w:val="21"/>
                    </w:rPr>
                  </w:pPr>
                  <w:r>
                    <w:rPr>
                      <w:rFonts w:hint="eastAsia"/>
                      <w:szCs w:val="21"/>
                    </w:rPr>
                    <w:t>0.03798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pct"/>
                  <w:vMerge w:val="continue"/>
                  <w:vAlign w:val="center"/>
                </w:tcPr>
                <w:p>
                  <w:pPr>
                    <w:jc w:val="center"/>
                    <w:rPr>
                      <w:szCs w:val="21"/>
                    </w:rPr>
                  </w:pPr>
                </w:p>
              </w:tc>
              <w:tc>
                <w:tcPr>
                  <w:tcW w:w="1037" w:type="pct"/>
                  <w:vAlign w:val="center"/>
                </w:tcPr>
                <w:p>
                  <w:pPr>
                    <w:pStyle w:val="16"/>
                    <w:snapToGrid/>
                    <w:spacing w:after="0" w:line="240" w:lineRule="auto"/>
                    <w:jc w:val="center"/>
                    <w:rPr>
                      <w:sz w:val="21"/>
                      <w:szCs w:val="21"/>
                    </w:rPr>
                  </w:pPr>
                  <w:r>
                    <w:rPr>
                      <w:rFonts w:hint="eastAsia"/>
                      <w:sz w:val="21"/>
                      <w:szCs w:val="21"/>
                    </w:rPr>
                    <w:t>颗粒物</w:t>
                  </w:r>
                </w:p>
              </w:tc>
              <w:tc>
                <w:tcPr>
                  <w:tcW w:w="700" w:type="pct"/>
                  <w:vAlign w:val="center"/>
                </w:tcPr>
                <w:p>
                  <w:pPr>
                    <w:jc w:val="center"/>
                    <w:rPr>
                      <w:szCs w:val="21"/>
                    </w:rPr>
                  </w:pPr>
                  <w:r>
                    <w:rPr>
                      <w:rFonts w:hint="eastAsia"/>
                      <w:szCs w:val="21"/>
                    </w:rPr>
                    <w:t>25.086</w:t>
                  </w:r>
                </w:p>
              </w:tc>
              <w:tc>
                <w:tcPr>
                  <w:tcW w:w="723" w:type="pct"/>
                  <w:vAlign w:val="center"/>
                </w:tcPr>
                <w:p>
                  <w:pPr>
                    <w:widowControl/>
                    <w:jc w:val="center"/>
                    <w:textAlignment w:val="center"/>
                    <w:rPr>
                      <w:kern w:val="0"/>
                      <w:szCs w:val="21"/>
                      <w:lang w:bidi="ar"/>
                    </w:rPr>
                  </w:pPr>
                  <w:r>
                    <w:rPr>
                      <w:rFonts w:hint="eastAsia"/>
                      <w:kern w:val="0"/>
                      <w:szCs w:val="21"/>
                      <w:lang w:bidi="ar"/>
                    </w:rPr>
                    <w:t>24.84795</w:t>
                  </w:r>
                </w:p>
              </w:tc>
              <w:tc>
                <w:tcPr>
                  <w:tcW w:w="1730" w:type="pct"/>
                  <w:gridSpan w:val="2"/>
                  <w:vAlign w:val="center"/>
                </w:tcPr>
                <w:p>
                  <w:pPr>
                    <w:jc w:val="center"/>
                    <w:rPr>
                      <w:szCs w:val="21"/>
                    </w:rPr>
                  </w:pPr>
                  <w:r>
                    <w:rPr>
                      <w:rFonts w:hint="eastAsia"/>
                      <w:szCs w:val="21"/>
                    </w:rPr>
                    <w:t>0.21705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pct"/>
                  <w:vMerge w:val="restart"/>
                  <w:vAlign w:val="center"/>
                </w:tcPr>
                <w:p>
                  <w:pPr>
                    <w:adjustRightInd w:val="0"/>
                    <w:snapToGrid w:val="0"/>
                    <w:ind w:left="-105" w:leftChars="-50" w:right="-105" w:rightChars="-50"/>
                    <w:jc w:val="center"/>
                    <w:rPr>
                      <w:szCs w:val="21"/>
                    </w:rPr>
                  </w:pPr>
                  <w:r>
                    <w:rPr>
                      <w:rFonts w:hint="eastAsia"/>
                      <w:bCs/>
                      <w:szCs w:val="21"/>
                    </w:rPr>
                    <w:t>固废</w:t>
                  </w:r>
                </w:p>
              </w:tc>
              <w:tc>
                <w:tcPr>
                  <w:tcW w:w="1037" w:type="pct"/>
                  <w:vAlign w:val="center"/>
                </w:tcPr>
                <w:p>
                  <w:pPr>
                    <w:adjustRightInd w:val="0"/>
                    <w:snapToGrid w:val="0"/>
                    <w:ind w:left="-105" w:leftChars="-50" w:right="-105" w:rightChars="-50"/>
                    <w:jc w:val="center"/>
                    <w:rPr>
                      <w:szCs w:val="21"/>
                    </w:rPr>
                  </w:pPr>
                  <w:r>
                    <w:rPr>
                      <w:rFonts w:hint="eastAsia" w:ascii="宋体" w:hAnsi="宋体"/>
                      <w:szCs w:val="21"/>
                    </w:rPr>
                    <w:t>一般固废</w:t>
                  </w:r>
                </w:p>
              </w:tc>
              <w:tc>
                <w:tcPr>
                  <w:tcW w:w="700" w:type="pct"/>
                  <w:vAlign w:val="center"/>
                </w:tcPr>
                <w:p>
                  <w:pPr>
                    <w:jc w:val="center"/>
                    <w:rPr>
                      <w:szCs w:val="21"/>
                    </w:rPr>
                  </w:pPr>
                  <w:r>
                    <w:rPr>
                      <w:rFonts w:hint="eastAsia"/>
                      <w:szCs w:val="21"/>
                    </w:rPr>
                    <w:t>5</w:t>
                  </w:r>
                </w:p>
              </w:tc>
              <w:tc>
                <w:tcPr>
                  <w:tcW w:w="723" w:type="pct"/>
                  <w:vAlign w:val="center"/>
                </w:tcPr>
                <w:p>
                  <w:pPr>
                    <w:jc w:val="center"/>
                    <w:rPr>
                      <w:kern w:val="0"/>
                      <w:szCs w:val="21"/>
                      <w:lang w:bidi="ar"/>
                    </w:rPr>
                  </w:pPr>
                  <w:r>
                    <w:rPr>
                      <w:rFonts w:hint="eastAsia"/>
                      <w:szCs w:val="21"/>
                    </w:rPr>
                    <w:t>5</w:t>
                  </w:r>
                </w:p>
              </w:tc>
              <w:tc>
                <w:tcPr>
                  <w:tcW w:w="1730" w:type="pct"/>
                  <w:gridSpan w:val="2"/>
                  <w:vAlign w:val="center"/>
                </w:tcPr>
                <w:p>
                  <w:pPr>
                    <w:jc w:val="center"/>
                    <w:rPr>
                      <w:szCs w:val="21"/>
                    </w:rPr>
                  </w:pPr>
                  <w:r>
                    <w:rPr>
                      <w:rFonts w:hint="eastAsia"/>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pct"/>
                  <w:vMerge w:val="continue"/>
                  <w:vAlign w:val="center"/>
                </w:tcPr>
                <w:p>
                  <w:pPr>
                    <w:adjustRightInd w:val="0"/>
                    <w:snapToGrid w:val="0"/>
                    <w:ind w:left="-105" w:leftChars="-50" w:right="-105" w:rightChars="-50"/>
                    <w:jc w:val="center"/>
                    <w:rPr>
                      <w:szCs w:val="21"/>
                    </w:rPr>
                  </w:pPr>
                </w:p>
              </w:tc>
              <w:tc>
                <w:tcPr>
                  <w:tcW w:w="1037" w:type="pct"/>
                  <w:vAlign w:val="center"/>
                </w:tcPr>
                <w:p>
                  <w:pPr>
                    <w:adjustRightInd w:val="0"/>
                    <w:snapToGrid w:val="0"/>
                    <w:ind w:left="-105" w:leftChars="-50" w:right="-105" w:rightChars="-50"/>
                    <w:jc w:val="center"/>
                    <w:rPr>
                      <w:szCs w:val="21"/>
                    </w:rPr>
                  </w:pPr>
                  <w:r>
                    <w:rPr>
                      <w:rFonts w:hint="eastAsia" w:ascii="宋体" w:hAnsi="宋体"/>
                      <w:szCs w:val="21"/>
                    </w:rPr>
                    <w:t>危险固废</w:t>
                  </w:r>
                </w:p>
              </w:tc>
              <w:tc>
                <w:tcPr>
                  <w:tcW w:w="700" w:type="pct"/>
                  <w:vAlign w:val="center"/>
                </w:tcPr>
                <w:p>
                  <w:pPr>
                    <w:jc w:val="center"/>
                    <w:rPr>
                      <w:szCs w:val="21"/>
                    </w:rPr>
                  </w:pPr>
                  <w:r>
                    <w:rPr>
                      <w:rFonts w:hint="eastAsia"/>
                      <w:szCs w:val="21"/>
                    </w:rPr>
                    <w:t>6.0411</w:t>
                  </w:r>
                </w:p>
              </w:tc>
              <w:tc>
                <w:tcPr>
                  <w:tcW w:w="723" w:type="pct"/>
                  <w:vAlign w:val="center"/>
                </w:tcPr>
                <w:p>
                  <w:pPr>
                    <w:jc w:val="center"/>
                    <w:rPr>
                      <w:kern w:val="0"/>
                      <w:szCs w:val="21"/>
                      <w:lang w:bidi="ar"/>
                    </w:rPr>
                  </w:pPr>
                  <w:r>
                    <w:rPr>
                      <w:rFonts w:hint="eastAsia"/>
                      <w:szCs w:val="21"/>
                    </w:rPr>
                    <w:t>6.0411</w:t>
                  </w:r>
                </w:p>
              </w:tc>
              <w:tc>
                <w:tcPr>
                  <w:tcW w:w="1730" w:type="pct"/>
                  <w:gridSpan w:val="2"/>
                  <w:vAlign w:val="center"/>
                </w:tcPr>
                <w:p>
                  <w:pPr>
                    <w:jc w:val="center"/>
                    <w:rPr>
                      <w:szCs w:val="21"/>
                    </w:rPr>
                  </w:pPr>
                  <w:r>
                    <w:rPr>
                      <w:rFonts w:hint="eastAsia"/>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pct"/>
                  <w:vMerge w:val="continue"/>
                  <w:vAlign w:val="center"/>
                </w:tcPr>
                <w:p>
                  <w:pPr>
                    <w:adjustRightInd w:val="0"/>
                    <w:snapToGrid w:val="0"/>
                    <w:ind w:left="-105" w:leftChars="-50" w:right="-105" w:rightChars="-50"/>
                    <w:jc w:val="center"/>
                    <w:rPr>
                      <w:szCs w:val="21"/>
                    </w:rPr>
                  </w:pPr>
                </w:p>
              </w:tc>
              <w:tc>
                <w:tcPr>
                  <w:tcW w:w="1037" w:type="pct"/>
                  <w:vAlign w:val="center"/>
                </w:tcPr>
                <w:p>
                  <w:pPr>
                    <w:adjustRightInd w:val="0"/>
                    <w:snapToGrid w:val="0"/>
                    <w:ind w:left="-105" w:leftChars="-50" w:right="-105" w:rightChars="-50"/>
                    <w:jc w:val="center"/>
                    <w:rPr>
                      <w:szCs w:val="21"/>
                    </w:rPr>
                  </w:pPr>
                  <w:r>
                    <w:rPr>
                      <w:rFonts w:hint="eastAsia" w:ascii="宋体" w:hAnsi="宋体"/>
                      <w:szCs w:val="21"/>
                    </w:rPr>
                    <w:t>生活垃圾</w:t>
                  </w:r>
                </w:p>
              </w:tc>
              <w:tc>
                <w:tcPr>
                  <w:tcW w:w="700" w:type="pct"/>
                  <w:vAlign w:val="center"/>
                </w:tcPr>
                <w:p>
                  <w:pPr>
                    <w:jc w:val="center"/>
                    <w:rPr>
                      <w:szCs w:val="21"/>
                    </w:rPr>
                  </w:pPr>
                  <w:r>
                    <w:rPr>
                      <w:rFonts w:hint="eastAsia"/>
                      <w:szCs w:val="21"/>
                    </w:rPr>
                    <w:t>7.5</w:t>
                  </w:r>
                </w:p>
              </w:tc>
              <w:tc>
                <w:tcPr>
                  <w:tcW w:w="723" w:type="pct"/>
                  <w:vAlign w:val="center"/>
                </w:tcPr>
                <w:p>
                  <w:pPr>
                    <w:jc w:val="center"/>
                    <w:rPr>
                      <w:kern w:val="0"/>
                      <w:szCs w:val="21"/>
                      <w:lang w:bidi="ar"/>
                    </w:rPr>
                  </w:pPr>
                  <w:r>
                    <w:rPr>
                      <w:rFonts w:hint="eastAsia"/>
                      <w:szCs w:val="21"/>
                    </w:rPr>
                    <w:t>7.5</w:t>
                  </w:r>
                </w:p>
              </w:tc>
              <w:tc>
                <w:tcPr>
                  <w:tcW w:w="1730" w:type="pct"/>
                  <w:gridSpan w:val="2"/>
                  <w:vAlign w:val="center"/>
                </w:tcPr>
                <w:p>
                  <w:pPr>
                    <w:jc w:val="center"/>
                    <w:rPr>
                      <w:szCs w:val="21"/>
                    </w:rPr>
                  </w:pPr>
                  <w:r>
                    <w:rPr>
                      <w:rFonts w:hint="eastAsia"/>
                      <w:szCs w:val="21"/>
                    </w:rPr>
                    <w:t>0</w:t>
                  </w:r>
                </w:p>
              </w:tc>
            </w:tr>
          </w:tbl>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b/>
                <w:sz w:val="24"/>
              </w:rPr>
            </w:pPr>
            <w:r>
              <w:rPr>
                <w:b/>
                <w:sz w:val="24"/>
              </w:rPr>
              <w:t>3、总量平衡方案</w:t>
            </w:r>
          </w:p>
          <w:p>
            <w:pPr>
              <w:keepNext w:val="0"/>
              <w:keepLines w:val="0"/>
              <w:pageBreakBefore w:val="0"/>
              <w:kinsoku/>
              <w:wordWrap/>
              <w:overflowPunct/>
              <w:topLinePunct w:val="0"/>
              <w:autoSpaceDE/>
              <w:autoSpaceDN/>
              <w:bidi w:val="0"/>
              <w:spacing w:line="500" w:lineRule="exact"/>
              <w:ind w:firstLine="480" w:firstLineChars="200"/>
              <w:textAlignment w:val="auto"/>
              <w:rPr>
                <w:sz w:val="24"/>
              </w:rPr>
            </w:pPr>
            <w:r>
              <w:rPr>
                <w:sz w:val="24"/>
              </w:rPr>
              <w:t>（1）废水：本项目废水排放量为300m</w:t>
            </w:r>
            <w:r>
              <w:rPr>
                <w:sz w:val="24"/>
                <w:vertAlign w:val="superscript"/>
              </w:rPr>
              <w:t>3</w:t>
            </w:r>
            <w:r>
              <w:rPr>
                <w:sz w:val="24"/>
              </w:rPr>
              <w:t>/a，其中污染物接管考核量分别为CODcr：0.102t/a、NH</w:t>
            </w:r>
            <w:r>
              <w:rPr>
                <w:sz w:val="24"/>
                <w:vertAlign w:val="subscript"/>
              </w:rPr>
              <w:t>3</w:t>
            </w:r>
            <w:r>
              <w:rPr>
                <w:sz w:val="24"/>
              </w:rPr>
              <w:t>-N：0.0075/a、TP：0.0009t/a；污水经江苏港城污水处理有限公司处理后污染物排入环境量分别为CODcr：0.015t/a、NH</w:t>
            </w:r>
            <w:r>
              <w:rPr>
                <w:sz w:val="24"/>
                <w:vertAlign w:val="subscript"/>
              </w:rPr>
              <w:t>3</w:t>
            </w:r>
            <w:r>
              <w:rPr>
                <w:sz w:val="24"/>
              </w:rPr>
              <w:t>-N：0.0015t/a、TP：0.0002t/a；污水总量纳入江苏港城污水处理有限公司总量；</w:t>
            </w:r>
          </w:p>
          <w:p>
            <w:pPr>
              <w:keepNext w:val="0"/>
              <w:keepLines w:val="0"/>
              <w:pageBreakBefore w:val="0"/>
              <w:widowControl/>
              <w:kinsoku/>
              <w:wordWrap/>
              <w:overflowPunct/>
              <w:topLinePunct w:val="0"/>
              <w:autoSpaceDE/>
              <w:autoSpaceDN/>
              <w:bidi w:val="0"/>
              <w:spacing w:line="500" w:lineRule="exact"/>
              <w:ind w:firstLine="480" w:firstLineChars="200"/>
              <w:textAlignment w:val="auto"/>
              <w:rPr>
                <w:sz w:val="24"/>
              </w:rPr>
            </w:pPr>
            <w:r>
              <w:rPr>
                <w:sz w:val="24"/>
              </w:rPr>
              <w:t>（2）废气：本项目申请的总量控制因子为有组织排放VOCs（以非甲烷总烃管控）</w:t>
            </w:r>
            <w:r>
              <w:rPr>
                <w:rFonts w:hint="eastAsia"/>
                <w:sz w:val="24"/>
              </w:rPr>
              <w:t>和颗粒物</w:t>
            </w:r>
            <w:r>
              <w:rPr>
                <w:sz w:val="24"/>
              </w:rPr>
              <w:t>，申请控制总量为</w:t>
            </w:r>
            <w:r>
              <w:rPr>
                <w:rFonts w:hint="eastAsia"/>
                <w:sz w:val="24"/>
              </w:rPr>
              <w:t>非甲烷总烃0.03798</w:t>
            </w:r>
            <w:r>
              <w:rPr>
                <w:sz w:val="24"/>
              </w:rPr>
              <w:t>t/a</w:t>
            </w:r>
            <w:r>
              <w:rPr>
                <w:rFonts w:hint="eastAsia"/>
                <w:sz w:val="24"/>
              </w:rPr>
              <w:t>、颗粒物0.21705t/a</w:t>
            </w:r>
            <w:r>
              <w:rPr>
                <w:sz w:val="24"/>
              </w:rPr>
              <w:t>，建设单位应向泰州市高港生态环境局申请总量指标。</w:t>
            </w:r>
          </w:p>
          <w:p>
            <w:pPr>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kern w:val="0"/>
                <w:sz w:val="24"/>
              </w:rPr>
            </w:pPr>
            <w:r>
              <w:rPr>
                <w:sz w:val="24"/>
              </w:rPr>
              <w:t>（3）固废：本项目所有固体废物经过妥善处理和处置后，实现零排放，无需申请总量。</w:t>
            </w:r>
          </w:p>
          <w:p>
            <w:pPr>
              <w:adjustRightInd w:val="0"/>
              <w:snapToGrid w:val="0"/>
              <w:rPr>
                <w:rFonts w:ascii="宋体" w:hAnsi="宋体" w:cs="宋体"/>
                <w:kern w:val="0"/>
                <w:sz w:val="24"/>
              </w:rPr>
            </w:pPr>
          </w:p>
          <w:p>
            <w:pPr>
              <w:pStyle w:val="2"/>
              <w:rPr>
                <w:rFonts w:ascii="宋体" w:hAnsi="宋体" w:cs="宋体"/>
                <w:kern w:val="0"/>
                <w:sz w:val="24"/>
              </w:rPr>
            </w:pPr>
          </w:p>
          <w:p>
            <w:pPr>
              <w:pStyle w:val="2"/>
              <w:rPr>
                <w:rFonts w:ascii="宋体" w:hAnsi="宋体" w:cs="宋体"/>
                <w:kern w:val="0"/>
                <w:sz w:val="24"/>
              </w:rPr>
            </w:pPr>
          </w:p>
          <w:p>
            <w:pPr>
              <w:pStyle w:val="2"/>
              <w:rPr>
                <w:rFonts w:ascii="宋体" w:hAnsi="宋体" w:cs="宋体"/>
                <w:kern w:val="0"/>
                <w:sz w:val="24"/>
              </w:rPr>
            </w:pPr>
          </w:p>
          <w:p>
            <w:pPr>
              <w:pStyle w:val="2"/>
              <w:rPr>
                <w:rFonts w:ascii="宋体" w:hAnsi="宋体" w:cs="宋体"/>
                <w:kern w:val="0"/>
                <w:sz w:val="24"/>
              </w:rPr>
            </w:pPr>
          </w:p>
          <w:p>
            <w:pPr>
              <w:pStyle w:val="2"/>
              <w:rPr>
                <w:rFonts w:ascii="宋体" w:hAnsi="宋体" w:cs="宋体"/>
                <w:kern w:val="0"/>
                <w:sz w:val="24"/>
              </w:rPr>
            </w:pPr>
          </w:p>
          <w:p>
            <w:pPr>
              <w:pStyle w:val="2"/>
              <w:rPr>
                <w:rFonts w:ascii="宋体" w:hAnsi="宋体" w:cs="宋体"/>
                <w:kern w:val="0"/>
                <w:sz w:val="24"/>
              </w:rPr>
            </w:pPr>
          </w:p>
          <w:p>
            <w:pPr>
              <w:pStyle w:val="2"/>
              <w:rPr>
                <w:rFonts w:ascii="宋体" w:hAnsi="宋体" w:cs="宋体"/>
                <w:kern w:val="0"/>
                <w:sz w:val="24"/>
              </w:rPr>
            </w:pPr>
          </w:p>
          <w:p>
            <w:pPr>
              <w:pStyle w:val="2"/>
              <w:rPr>
                <w:rFonts w:ascii="宋体" w:hAnsi="宋体" w:cs="宋体"/>
                <w:kern w:val="0"/>
                <w:sz w:val="24"/>
              </w:rPr>
            </w:pPr>
          </w:p>
          <w:p>
            <w:pPr>
              <w:pStyle w:val="2"/>
              <w:rPr>
                <w:rFonts w:ascii="宋体" w:hAnsi="宋体" w:cs="宋体"/>
                <w:kern w:val="0"/>
                <w:sz w:val="24"/>
              </w:rPr>
            </w:pPr>
          </w:p>
        </w:tc>
      </w:tr>
    </w:tbl>
    <w:p>
      <w:pPr>
        <w:pStyle w:val="29"/>
        <w:spacing w:before="0" w:beforeAutospacing="0" w:after="0" w:afterAutospacing="0"/>
        <w:outlineLvl w:val="0"/>
        <w:rPr>
          <w:rFonts w:ascii="黑体" w:hAnsi="黑体" w:eastAsia="黑体"/>
          <w:snapToGrid w:val="0"/>
          <w:sz w:val="30"/>
          <w:szCs w:val="30"/>
        </w:rPr>
      </w:pPr>
      <w:r>
        <w:rPr>
          <w:rFonts w:ascii="黑体" w:hAnsi="黑体" w:eastAsia="黑体"/>
          <w:snapToGrid w:val="0"/>
          <w:sz w:val="36"/>
          <w:szCs w:val="36"/>
        </w:rPr>
        <w:br w:type="page"/>
      </w:r>
      <w:r>
        <w:rPr>
          <w:rFonts w:hint="eastAsia" w:ascii="黑体" w:hAnsi="黑体" w:eastAsia="黑体"/>
          <w:snapToGrid w:val="0"/>
          <w:sz w:val="30"/>
          <w:szCs w:val="30"/>
        </w:rPr>
        <w:t>四、主要环境影响和保护措施</w:t>
      </w:r>
    </w:p>
    <w:tbl>
      <w:tblPr>
        <w:tblStyle w:val="33"/>
        <w:tblW w:w="90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96"/>
        <w:gridCol w:w="878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89" w:hRule="atLeast"/>
          <w:jc w:val="center"/>
        </w:trPr>
        <w:tc>
          <w:tcPr>
            <w:tcW w:w="296" w:type="dxa"/>
            <w:tcMar>
              <w:left w:w="28" w:type="dxa"/>
              <w:right w:w="28" w:type="dxa"/>
            </w:tcMar>
            <w:vAlign w:val="center"/>
          </w:tcPr>
          <w:p>
            <w:pPr>
              <w:pStyle w:val="29"/>
              <w:adjustRightInd w:val="0"/>
              <w:snapToGrid w:val="0"/>
              <w:spacing w:before="0" w:beforeAutospacing="0" w:after="0" w:afterAutospacing="0"/>
              <w:jc w:val="center"/>
              <w:rPr>
                <w:rFonts w:cs="宋体"/>
                <w:kern w:val="2"/>
                <w:szCs w:val="24"/>
              </w:rPr>
            </w:pPr>
            <w:r>
              <w:rPr>
                <w:rFonts w:hint="eastAsia" w:cs="宋体"/>
                <w:kern w:val="2"/>
                <w:szCs w:val="24"/>
              </w:rPr>
              <w:t>施工</w:t>
            </w:r>
          </w:p>
          <w:p>
            <w:pPr>
              <w:pStyle w:val="29"/>
              <w:adjustRightInd w:val="0"/>
              <w:snapToGrid w:val="0"/>
              <w:spacing w:before="0" w:beforeAutospacing="0" w:after="0" w:afterAutospacing="0"/>
              <w:jc w:val="center"/>
              <w:rPr>
                <w:rFonts w:cs="宋体"/>
                <w:kern w:val="2"/>
                <w:szCs w:val="24"/>
              </w:rPr>
            </w:pPr>
            <w:r>
              <w:rPr>
                <w:rFonts w:hint="eastAsia" w:cs="宋体"/>
                <w:kern w:val="2"/>
                <w:szCs w:val="24"/>
              </w:rPr>
              <w:t>期环</w:t>
            </w:r>
          </w:p>
          <w:p>
            <w:pPr>
              <w:pStyle w:val="29"/>
              <w:adjustRightInd w:val="0"/>
              <w:snapToGrid w:val="0"/>
              <w:spacing w:before="0" w:beforeAutospacing="0" w:after="0" w:afterAutospacing="0"/>
              <w:jc w:val="center"/>
              <w:rPr>
                <w:rFonts w:cs="宋体"/>
                <w:kern w:val="2"/>
                <w:szCs w:val="24"/>
              </w:rPr>
            </w:pPr>
            <w:r>
              <w:rPr>
                <w:rFonts w:hint="eastAsia" w:cs="宋体"/>
                <w:kern w:val="2"/>
                <w:szCs w:val="24"/>
              </w:rPr>
              <w:t>境保</w:t>
            </w:r>
          </w:p>
          <w:p>
            <w:pPr>
              <w:pStyle w:val="29"/>
              <w:adjustRightInd w:val="0"/>
              <w:snapToGrid w:val="0"/>
              <w:spacing w:before="0" w:beforeAutospacing="0" w:after="0" w:afterAutospacing="0"/>
              <w:jc w:val="center"/>
              <w:rPr>
                <w:rFonts w:cs="宋体"/>
                <w:kern w:val="2"/>
                <w:szCs w:val="24"/>
              </w:rPr>
            </w:pPr>
            <w:r>
              <w:rPr>
                <w:rFonts w:hint="eastAsia" w:cs="宋体"/>
                <w:kern w:val="2"/>
                <w:szCs w:val="24"/>
              </w:rPr>
              <w:t>护措</w:t>
            </w:r>
          </w:p>
          <w:p>
            <w:pPr>
              <w:pStyle w:val="29"/>
              <w:adjustRightInd w:val="0"/>
              <w:snapToGrid w:val="0"/>
              <w:spacing w:before="0" w:beforeAutospacing="0" w:after="0" w:afterAutospacing="0"/>
              <w:jc w:val="center"/>
              <w:rPr>
                <w:rFonts w:cs="宋体"/>
                <w:bCs/>
                <w:kern w:val="2"/>
                <w:szCs w:val="24"/>
              </w:rPr>
            </w:pPr>
            <w:r>
              <w:rPr>
                <w:rFonts w:hint="eastAsia" w:cs="宋体"/>
                <w:kern w:val="2"/>
                <w:szCs w:val="24"/>
              </w:rPr>
              <w:t>施</w:t>
            </w:r>
          </w:p>
        </w:tc>
        <w:tc>
          <w:tcPr>
            <w:tcW w:w="8785"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bCs/>
                <w:spacing w:val="-10"/>
                <w:sz w:val="24"/>
              </w:rPr>
            </w:pPr>
            <w:r>
              <w:rPr>
                <w:rStyle w:val="55"/>
                <w:rFonts w:hint="eastAsia" w:hAnsi="宋体" w:cs="宋体"/>
                <w:sz w:val="24"/>
              </w:rPr>
              <w:t>本项目厂房已经建成，不涉及土木建设。本项目施工期活动主要为厂房内设备安装。设备安装调试完成进行现场清理，即可投入使用。本项目无土建施工，故施工期没有扬尘废气污染，仅涉及施工期人员生活污水排放，设备安装噪声、设备包装等固体废物。施工人员生活污水排放依托厂区污水管网，由于是室内设备安装，设备安装减震设施，并进行厂房隔声。包装固体废物由环卫部门清运</w:t>
            </w:r>
            <w:r>
              <w:rPr>
                <w:rFonts w:hint="eastAsia" w:ascii="宋体" w:hAnsi="宋体" w:cs="宋体"/>
                <w:bCs/>
                <w:spacing w:val="-10"/>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05" w:hRule="atLeast"/>
          <w:jc w:val="center"/>
        </w:trPr>
        <w:tc>
          <w:tcPr>
            <w:tcW w:w="296" w:type="dxa"/>
            <w:tcMar>
              <w:left w:w="28" w:type="dxa"/>
              <w:right w:w="28" w:type="dxa"/>
            </w:tcMar>
            <w:vAlign w:val="center"/>
          </w:tcPr>
          <w:p>
            <w:pPr>
              <w:adjustRightInd w:val="0"/>
              <w:snapToGrid w:val="0"/>
              <w:jc w:val="center"/>
              <w:rPr>
                <w:rFonts w:ascii="宋体" w:hAnsi="宋体" w:cs="宋体"/>
                <w:bCs/>
                <w:sz w:val="24"/>
              </w:rPr>
            </w:pPr>
            <w:r>
              <w:rPr>
                <w:rFonts w:hint="eastAsia" w:ascii="宋体" w:hAnsi="宋体" w:cs="宋体"/>
                <w:bCs/>
                <w:sz w:val="24"/>
              </w:rPr>
              <w:t>运营</w:t>
            </w:r>
          </w:p>
          <w:p>
            <w:pPr>
              <w:adjustRightInd w:val="0"/>
              <w:snapToGrid w:val="0"/>
              <w:jc w:val="center"/>
              <w:rPr>
                <w:rFonts w:ascii="宋体" w:hAnsi="宋体" w:cs="宋体"/>
                <w:bCs/>
                <w:sz w:val="24"/>
              </w:rPr>
            </w:pPr>
            <w:r>
              <w:rPr>
                <w:rFonts w:hint="eastAsia" w:ascii="宋体" w:hAnsi="宋体" w:cs="宋体"/>
                <w:bCs/>
                <w:sz w:val="24"/>
              </w:rPr>
              <w:t>期环</w:t>
            </w:r>
          </w:p>
          <w:p>
            <w:pPr>
              <w:adjustRightInd w:val="0"/>
              <w:snapToGrid w:val="0"/>
              <w:jc w:val="center"/>
              <w:rPr>
                <w:rFonts w:ascii="宋体" w:hAnsi="宋体" w:cs="宋体"/>
                <w:bCs/>
                <w:sz w:val="24"/>
              </w:rPr>
            </w:pPr>
            <w:r>
              <w:rPr>
                <w:rFonts w:hint="eastAsia" w:ascii="宋体" w:hAnsi="宋体" w:cs="宋体"/>
                <w:bCs/>
                <w:sz w:val="24"/>
              </w:rPr>
              <w:t>境影</w:t>
            </w:r>
          </w:p>
          <w:p>
            <w:pPr>
              <w:adjustRightInd w:val="0"/>
              <w:snapToGrid w:val="0"/>
              <w:jc w:val="center"/>
              <w:rPr>
                <w:rFonts w:ascii="宋体" w:hAnsi="宋体" w:cs="宋体"/>
                <w:bCs/>
                <w:sz w:val="24"/>
              </w:rPr>
            </w:pPr>
            <w:r>
              <w:rPr>
                <w:rFonts w:hint="eastAsia" w:ascii="宋体" w:hAnsi="宋体" w:cs="宋体"/>
                <w:bCs/>
                <w:sz w:val="24"/>
              </w:rPr>
              <w:t>响和</w:t>
            </w:r>
          </w:p>
          <w:p>
            <w:pPr>
              <w:adjustRightInd w:val="0"/>
              <w:snapToGrid w:val="0"/>
              <w:jc w:val="center"/>
              <w:rPr>
                <w:rFonts w:ascii="宋体" w:hAnsi="宋体" w:cs="宋体"/>
                <w:bCs/>
                <w:sz w:val="24"/>
              </w:rPr>
            </w:pPr>
            <w:r>
              <w:rPr>
                <w:rFonts w:hint="eastAsia" w:ascii="宋体" w:hAnsi="宋体" w:cs="宋体"/>
                <w:bCs/>
                <w:sz w:val="24"/>
              </w:rPr>
              <w:t>保护</w:t>
            </w:r>
          </w:p>
          <w:p>
            <w:pPr>
              <w:adjustRightInd w:val="0"/>
              <w:snapToGrid w:val="0"/>
              <w:jc w:val="center"/>
              <w:rPr>
                <w:rFonts w:ascii="宋体" w:hAnsi="宋体" w:cs="宋体"/>
                <w:bCs/>
                <w:sz w:val="24"/>
              </w:rPr>
            </w:pPr>
            <w:r>
              <w:rPr>
                <w:rFonts w:hint="eastAsia" w:ascii="宋体" w:hAnsi="宋体" w:cs="宋体"/>
                <w:bCs/>
                <w:sz w:val="24"/>
              </w:rPr>
              <w:t>措施</w:t>
            </w:r>
          </w:p>
        </w:tc>
        <w:tc>
          <w:tcPr>
            <w:tcW w:w="8785" w:type="dxa"/>
          </w:tcPr>
          <w:p>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firstLine="482" w:firstLineChars="200"/>
              <w:textAlignment w:val="auto"/>
              <w:rPr>
                <w:b/>
                <w:sz w:val="24"/>
              </w:rPr>
            </w:pPr>
            <w:r>
              <w:rPr>
                <w:rFonts w:hint="eastAsia"/>
                <w:b/>
                <w:sz w:val="24"/>
              </w:rPr>
              <w:t>大气环境影响及防治措施分析</w:t>
            </w:r>
          </w:p>
          <w:p>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firstLine="482" w:firstLineChars="200"/>
              <w:textAlignment w:val="auto"/>
              <w:rPr>
                <w:b/>
                <w:bCs/>
                <w:sz w:val="24"/>
              </w:rPr>
            </w:pPr>
            <w:r>
              <w:rPr>
                <w:rFonts w:hint="eastAsia"/>
                <w:b/>
                <w:bCs/>
                <w:sz w:val="24"/>
              </w:rPr>
              <w:t>废气源强核算分析</w:t>
            </w:r>
          </w:p>
          <w:p>
            <w:pPr>
              <w:spacing w:line="360" w:lineRule="auto"/>
              <w:ind w:firstLine="480" w:firstLineChars="200"/>
              <w:rPr>
                <w:color w:val="FF0000"/>
                <w:sz w:val="24"/>
              </w:rPr>
            </w:pPr>
            <w:r>
              <w:rPr>
                <w:color w:val="FF0000"/>
                <w:sz w:val="24"/>
              </w:rPr>
              <w:t>本项目的工业废气主要来源于</w:t>
            </w:r>
            <w:r>
              <w:rPr>
                <w:rFonts w:hint="eastAsia"/>
                <w:color w:val="FF0000"/>
                <w:sz w:val="24"/>
              </w:rPr>
              <w:t>熔化产生的颗粒物、压铸产生的非甲烷总烃、喷塑烘干产生的</w:t>
            </w:r>
            <w:r>
              <w:rPr>
                <w:rFonts w:hint="eastAsia"/>
                <w:color w:val="FF0000"/>
                <w:sz w:val="24"/>
                <w:lang w:val="en-US" w:eastAsia="zh-CN"/>
              </w:rPr>
              <w:t>颗粒物和</w:t>
            </w:r>
            <w:r>
              <w:rPr>
                <w:rFonts w:hint="eastAsia"/>
                <w:color w:val="FF0000"/>
                <w:sz w:val="24"/>
              </w:rPr>
              <w:t>非甲烷总烃</w:t>
            </w:r>
            <w:r>
              <w:rPr>
                <w:rFonts w:hint="eastAsia"/>
                <w:color w:val="FF0000"/>
                <w:sz w:val="24"/>
                <w:lang w:val="en-US" w:eastAsia="zh-CN"/>
              </w:rPr>
              <w:t>以及印字工序产生的非甲烷总烃</w:t>
            </w:r>
            <w:r>
              <w:rPr>
                <w:rFonts w:hint="eastAsia"/>
                <w:color w:val="FF0000"/>
                <w:sz w:val="24"/>
              </w:rPr>
              <w:t>。</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①熔化废气</w:t>
            </w:r>
          </w:p>
          <w:p>
            <w:pPr>
              <w:spacing w:line="360" w:lineRule="auto"/>
              <w:ind w:firstLine="480" w:firstLineChars="200"/>
              <w:rPr>
                <w:rFonts w:hint="default"/>
                <w:color w:val="FF0000"/>
                <w:sz w:val="24"/>
              </w:rPr>
            </w:pPr>
            <w:r>
              <w:rPr>
                <w:rFonts w:hint="default"/>
                <w:color w:val="FF0000"/>
                <w:sz w:val="24"/>
              </w:rPr>
              <w:t>项目设有</w:t>
            </w:r>
            <w:r>
              <w:rPr>
                <w:rFonts w:hint="eastAsia"/>
                <w:color w:val="FF0000"/>
                <w:sz w:val="24"/>
                <w:lang w:eastAsia="zh-CN"/>
              </w:rPr>
              <w:t>5</w:t>
            </w:r>
            <w:r>
              <w:rPr>
                <w:rFonts w:hint="default"/>
                <w:color w:val="FF0000"/>
                <w:sz w:val="24"/>
              </w:rPr>
              <w:t>台熔铝保温炉，产生的</w:t>
            </w:r>
            <w:r>
              <w:rPr>
                <w:rFonts w:hint="eastAsia"/>
                <w:color w:val="FF0000"/>
                <w:sz w:val="24"/>
                <w:lang w:val="en-US" w:eastAsia="zh-CN"/>
              </w:rPr>
              <w:t>熔化</w:t>
            </w:r>
            <w:r>
              <w:rPr>
                <w:rFonts w:hint="default"/>
                <w:color w:val="FF0000"/>
                <w:sz w:val="24"/>
              </w:rPr>
              <w:t>粉尘经集气罩进行收集。根据《环境工程技术手册：废气处理工程技术手册》</w:t>
            </w:r>
            <w:r>
              <w:rPr>
                <w:rFonts w:hint="eastAsia"/>
                <w:color w:val="FF0000"/>
                <w:sz w:val="24"/>
                <w:lang w:eastAsia="zh-CN"/>
              </w:rPr>
              <w:t>（王纯、张殿印主编，化学工业出版社，2013 年1月第1版）</w:t>
            </w:r>
            <w:r>
              <w:rPr>
                <w:rFonts w:hint="default"/>
                <w:color w:val="FF0000"/>
                <w:sz w:val="24"/>
              </w:rPr>
              <w:t>，推荐的适用于上部集气罩的风量计算公式为：</w:t>
            </w:r>
          </w:p>
          <w:p>
            <w:pPr>
              <w:spacing w:line="360" w:lineRule="auto"/>
              <w:ind w:firstLine="480" w:firstLineChars="200"/>
              <w:rPr>
                <w:rFonts w:hint="default"/>
                <w:color w:val="FF0000"/>
                <w:sz w:val="24"/>
              </w:rPr>
            </w:pPr>
            <w:r>
              <w:rPr>
                <w:rFonts w:hint="default"/>
                <w:color w:val="FF0000"/>
                <w:sz w:val="24"/>
              </w:rPr>
              <w:t>Q=1.4WHVx</w:t>
            </w:r>
          </w:p>
          <w:p>
            <w:pPr>
              <w:spacing w:line="360" w:lineRule="auto"/>
              <w:ind w:firstLine="480" w:firstLineChars="200"/>
              <w:rPr>
                <w:rFonts w:hint="default"/>
                <w:color w:val="FF0000"/>
                <w:sz w:val="24"/>
              </w:rPr>
            </w:pPr>
            <w:r>
              <w:rPr>
                <w:rFonts w:hint="default"/>
                <w:color w:val="FF0000"/>
                <w:sz w:val="24"/>
              </w:rPr>
              <w:t>式中：Q-集气罩排风量，m</w:t>
            </w:r>
            <w:r>
              <w:rPr>
                <w:rFonts w:hint="default"/>
                <w:color w:val="FF0000"/>
                <w:sz w:val="24"/>
                <w:vertAlign w:val="superscript"/>
              </w:rPr>
              <w:t>3</w:t>
            </w:r>
            <w:r>
              <w:rPr>
                <w:rFonts w:hint="default"/>
                <w:color w:val="FF0000"/>
                <w:sz w:val="24"/>
              </w:rPr>
              <w:t>/s；</w:t>
            </w:r>
          </w:p>
          <w:p>
            <w:pPr>
              <w:spacing w:line="360" w:lineRule="auto"/>
              <w:ind w:firstLine="480" w:firstLineChars="200"/>
              <w:rPr>
                <w:rFonts w:hint="default"/>
                <w:color w:val="FF0000"/>
                <w:sz w:val="24"/>
              </w:rPr>
            </w:pPr>
            <w:r>
              <w:rPr>
                <w:rFonts w:hint="default"/>
                <w:color w:val="FF0000"/>
                <w:sz w:val="24"/>
              </w:rPr>
              <w:t>H-污染源至罩口的距离，本项目为 0</w:t>
            </w:r>
            <w:r>
              <w:rPr>
                <w:rFonts w:hint="eastAsia"/>
                <w:color w:val="FF0000"/>
                <w:sz w:val="24"/>
                <w:lang w:val="en-US" w:eastAsia="zh-CN"/>
              </w:rPr>
              <w:t>.</w:t>
            </w:r>
            <w:r>
              <w:rPr>
                <w:rFonts w:hint="eastAsia"/>
                <w:color w:val="FF0000"/>
                <w:sz w:val="24"/>
                <w:lang w:eastAsia="zh-CN"/>
              </w:rPr>
              <w:t>4</w:t>
            </w:r>
            <w:r>
              <w:rPr>
                <w:rFonts w:hint="default"/>
                <w:color w:val="FF0000"/>
                <w:sz w:val="24"/>
              </w:rPr>
              <w:t>m；</w:t>
            </w:r>
          </w:p>
          <w:p>
            <w:pPr>
              <w:spacing w:line="360" w:lineRule="auto"/>
              <w:ind w:firstLine="480" w:firstLineChars="200"/>
              <w:rPr>
                <w:rFonts w:hint="default"/>
                <w:color w:val="FF0000"/>
                <w:sz w:val="24"/>
              </w:rPr>
            </w:pPr>
            <w:r>
              <w:rPr>
                <w:rFonts w:hint="default"/>
                <w:color w:val="FF0000"/>
                <w:sz w:val="24"/>
              </w:rPr>
              <w:t>W-罩口周长，m；</w:t>
            </w:r>
          </w:p>
          <w:p>
            <w:pPr>
              <w:spacing w:line="360" w:lineRule="auto"/>
              <w:ind w:firstLine="480" w:firstLineChars="200"/>
              <w:rPr>
                <w:rFonts w:hint="default"/>
                <w:color w:val="FF0000"/>
                <w:sz w:val="24"/>
              </w:rPr>
            </w:pPr>
            <w:r>
              <w:rPr>
                <w:rFonts w:hint="default"/>
                <w:color w:val="FF0000"/>
                <w:sz w:val="24"/>
              </w:rPr>
              <w:t>Vx-最小控制风速，m/s，根据要求，采用外部集气罩的距集气罩开口面最远处的无组织排放位置控制风速不低于 0.3 m/s，本项目取 0.3m/s。</w:t>
            </w:r>
          </w:p>
          <w:p>
            <w:pPr>
              <w:spacing w:line="360" w:lineRule="auto"/>
              <w:ind w:firstLine="480" w:firstLineChars="200"/>
              <w:rPr>
                <w:rFonts w:hint="default"/>
                <w:color w:val="FF0000"/>
                <w:sz w:val="24"/>
              </w:rPr>
            </w:pPr>
            <w:r>
              <w:rPr>
                <w:rFonts w:hint="default"/>
                <w:color w:val="FF0000"/>
                <w:sz w:val="24"/>
              </w:rPr>
              <w:t>根据建设单位提供的熔铝保温炉集气罩罩口尺寸及数量，本项目激光切割机废气处理设施风量计算情况见表 4-</w:t>
            </w:r>
            <w:r>
              <w:rPr>
                <w:rFonts w:hint="eastAsia"/>
                <w:color w:val="FF0000"/>
                <w:sz w:val="24"/>
                <w:lang w:eastAsia="zh-CN"/>
              </w:rPr>
              <w:t>1</w:t>
            </w:r>
            <w:r>
              <w:rPr>
                <w:rFonts w:hint="default"/>
                <w:color w:val="FF0000"/>
                <w:sz w:val="24"/>
              </w:rPr>
              <w:t>。</w:t>
            </w:r>
          </w:p>
          <w:p>
            <w:pPr>
              <w:spacing w:line="240" w:lineRule="auto"/>
              <w:ind w:firstLine="422" w:firstLineChars="200"/>
              <w:jc w:val="center"/>
              <w:rPr>
                <w:rFonts w:hint="default"/>
                <w:b/>
                <w:color w:val="FF0000"/>
                <w:szCs w:val="21"/>
                <w:vertAlign w:val="baseline"/>
              </w:rPr>
            </w:pPr>
            <w:r>
              <w:rPr>
                <w:rFonts w:hint="default"/>
                <w:b/>
                <w:color w:val="FF0000"/>
                <w:sz w:val="21"/>
                <w:szCs w:val="21"/>
                <w:lang w:val="en-US" w:eastAsia="zh-CN"/>
              </w:rPr>
              <w:t>表4-1 项目熔化废气风量计算一览表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1"/>
              <w:gridCol w:w="1223"/>
              <w:gridCol w:w="1223"/>
              <w:gridCol w:w="1223"/>
              <w:gridCol w:w="1223"/>
              <w:gridCol w:w="1223"/>
              <w:gridCol w:w="1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5"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区域</w:t>
                  </w:r>
                </w:p>
              </w:tc>
              <w:tc>
                <w:tcPr>
                  <w:tcW w:w="1496"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罩口周长（m）</w:t>
                  </w:r>
                </w:p>
              </w:tc>
              <w:tc>
                <w:tcPr>
                  <w:tcW w:w="1496"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控制风速（m/s）</w:t>
                  </w:r>
                </w:p>
              </w:tc>
              <w:tc>
                <w:tcPr>
                  <w:tcW w:w="1496"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eastAsia="zh-CN"/>
                    </w:rPr>
                  </w:pPr>
                  <w:r>
                    <w:rPr>
                      <w:rFonts w:hint="default" w:ascii="Times New Roman" w:hAnsi="Times New Roman" w:eastAsia="宋体" w:cs="Times New Roman"/>
                      <w:b/>
                      <w:color w:val="FF0000"/>
                      <w:szCs w:val="21"/>
                      <w:vertAlign w:val="baseline"/>
                    </w:rPr>
                    <w:t>污染源至罩口的距离</w:t>
                  </w:r>
                  <w:r>
                    <w:rPr>
                      <w:rFonts w:hint="default" w:ascii="Times New Roman" w:hAnsi="Times New Roman" w:eastAsia="宋体" w:cs="Times New Roman"/>
                      <w:b/>
                      <w:color w:val="FF0000"/>
                      <w:szCs w:val="21"/>
                      <w:vertAlign w:val="baseline"/>
                      <w:lang w:eastAsia="zh-CN"/>
                    </w:rPr>
                    <w:t>（</w:t>
                  </w:r>
                  <w:r>
                    <w:rPr>
                      <w:rFonts w:hint="default" w:ascii="Times New Roman" w:hAnsi="Times New Roman" w:eastAsia="宋体" w:cs="Times New Roman"/>
                      <w:b/>
                      <w:color w:val="FF0000"/>
                      <w:szCs w:val="21"/>
                      <w:vertAlign w:val="baseline"/>
                      <w:lang w:val="en-US" w:eastAsia="zh-CN"/>
                    </w:rPr>
                    <w:t>m</w:t>
                  </w:r>
                  <w:r>
                    <w:rPr>
                      <w:rFonts w:hint="default" w:ascii="Times New Roman" w:hAnsi="Times New Roman" w:eastAsia="宋体" w:cs="Times New Roman"/>
                      <w:b/>
                      <w:color w:val="FF0000"/>
                      <w:szCs w:val="21"/>
                      <w:vertAlign w:val="baseline"/>
                      <w:lang w:eastAsia="zh-CN"/>
                    </w:rPr>
                    <w:t>）</w:t>
                  </w:r>
                </w:p>
              </w:tc>
              <w:tc>
                <w:tcPr>
                  <w:tcW w:w="1496"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rPr>
                  </w:pPr>
                  <w:r>
                    <w:rPr>
                      <w:rFonts w:hint="default" w:ascii="Times New Roman" w:hAnsi="Times New Roman" w:eastAsia="宋体" w:cs="Times New Roman"/>
                      <w:b/>
                      <w:color w:val="FF0000"/>
                      <w:szCs w:val="21"/>
                      <w:vertAlign w:val="baseline"/>
                    </w:rPr>
                    <w:t>单个集气罩风量（m</w:t>
                  </w:r>
                  <w:r>
                    <w:rPr>
                      <w:rFonts w:hint="default" w:ascii="Times New Roman" w:hAnsi="Times New Roman" w:eastAsia="宋体" w:cs="Times New Roman"/>
                      <w:b/>
                      <w:color w:val="FF0000"/>
                      <w:szCs w:val="21"/>
                      <w:vertAlign w:val="superscript"/>
                    </w:rPr>
                    <w:t xml:space="preserve">3 </w:t>
                  </w:r>
                  <w:r>
                    <w:rPr>
                      <w:rFonts w:hint="default" w:ascii="Times New Roman" w:hAnsi="Times New Roman" w:eastAsia="宋体" w:cs="Times New Roman"/>
                      <w:b/>
                      <w:color w:val="FF0000"/>
                      <w:szCs w:val="21"/>
                      <w:vertAlign w:val="baseline"/>
                    </w:rPr>
                    <w:t>/h）</w:t>
                  </w:r>
                </w:p>
              </w:tc>
              <w:tc>
                <w:tcPr>
                  <w:tcW w:w="1496"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集气罩个数（个）</w:t>
                  </w:r>
                </w:p>
              </w:tc>
              <w:tc>
                <w:tcPr>
                  <w:tcW w:w="1496"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计算总风量（m</w:t>
                  </w:r>
                  <w:r>
                    <w:rPr>
                      <w:rFonts w:hint="default" w:ascii="Times New Roman" w:hAnsi="Times New Roman" w:eastAsia="宋体" w:cs="Times New Roman"/>
                      <w:b/>
                      <w:color w:val="FF0000"/>
                      <w:szCs w:val="21"/>
                      <w:vertAlign w:val="superscript"/>
                      <w:lang w:val="en-US" w:eastAsia="zh-CN"/>
                    </w:rPr>
                    <w:t>3</w:t>
                  </w:r>
                  <w:r>
                    <w:rPr>
                      <w:rFonts w:hint="default" w:ascii="Times New Roman" w:hAnsi="Times New Roman" w:eastAsia="宋体" w:cs="Times New Roman"/>
                      <w:b/>
                      <w:color w:val="FF0000"/>
                      <w:szCs w:val="21"/>
                      <w:vertAlign w:val="baseli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5"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rPr>
                  </w:pPr>
                  <w:r>
                    <w:rPr>
                      <w:rFonts w:hint="default" w:ascii="Times New Roman" w:hAnsi="Times New Roman" w:eastAsia="宋体" w:cs="Times New Roman"/>
                      <w:b w:val="0"/>
                      <w:bCs w:val="0"/>
                      <w:color w:val="FF0000"/>
                      <w:sz w:val="21"/>
                      <w:szCs w:val="21"/>
                    </w:rPr>
                    <w:t>熔铝保温炉</w:t>
                  </w:r>
                </w:p>
              </w:tc>
              <w:tc>
                <w:tcPr>
                  <w:tcW w:w="1496"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2.512（φ0.8）</w:t>
                  </w:r>
                </w:p>
              </w:tc>
              <w:tc>
                <w:tcPr>
                  <w:tcW w:w="1496"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0.3</w:t>
                  </w:r>
                </w:p>
              </w:tc>
              <w:tc>
                <w:tcPr>
                  <w:tcW w:w="1496"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0.4</w:t>
                  </w:r>
                </w:p>
              </w:tc>
              <w:tc>
                <w:tcPr>
                  <w:tcW w:w="1496"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1520</w:t>
                  </w:r>
                </w:p>
              </w:tc>
              <w:tc>
                <w:tcPr>
                  <w:tcW w:w="1496"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5</w:t>
                  </w:r>
                </w:p>
              </w:tc>
              <w:tc>
                <w:tcPr>
                  <w:tcW w:w="1496"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7600</w:t>
                  </w:r>
                </w:p>
              </w:tc>
            </w:tr>
          </w:tbl>
          <w:p>
            <w:pPr>
              <w:spacing w:line="360" w:lineRule="auto"/>
              <w:ind w:firstLine="480" w:firstLineChars="200"/>
              <w:rPr>
                <w:rFonts w:hint="eastAsia" w:eastAsia="宋体"/>
                <w:color w:val="FF0000"/>
                <w:sz w:val="24"/>
                <w:lang w:eastAsia="zh-CN"/>
              </w:rPr>
            </w:pPr>
            <w:r>
              <w:rPr>
                <w:rFonts w:hint="default"/>
                <w:color w:val="FF0000"/>
                <w:sz w:val="24"/>
              </w:rPr>
              <w:t>考虑到风压损失、管道距离等因素，本项目</w:t>
            </w:r>
            <w:r>
              <w:rPr>
                <w:rFonts w:hint="eastAsia"/>
                <w:color w:val="FF0000"/>
                <w:sz w:val="24"/>
                <w:lang w:val="en-US" w:eastAsia="zh-CN"/>
              </w:rPr>
              <w:t>熔化粉尘</w:t>
            </w:r>
            <w:r>
              <w:rPr>
                <w:rFonts w:hint="default"/>
                <w:color w:val="FF0000"/>
                <w:sz w:val="24"/>
              </w:rPr>
              <w:t>所设布袋除尘器配套风机风量取计算风量的 1.</w:t>
            </w:r>
            <w:r>
              <w:rPr>
                <w:rFonts w:hint="eastAsia"/>
                <w:color w:val="FF0000"/>
                <w:sz w:val="24"/>
                <w:lang w:val="en-US" w:eastAsia="zh-CN"/>
              </w:rPr>
              <w:t>3</w:t>
            </w:r>
            <w:r>
              <w:rPr>
                <w:rFonts w:hint="default"/>
                <w:color w:val="FF0000"/>
                <w:sz w:val="24"/>
              </w:rPr>
              <w:t>倍，即设计风量</w:t>
            </w:r>
            <w:r>
              <w:rPr>
                <w:rFonts w:hint="eastAsia"/>
                <w:color w:val="FF0000"/>
                <w:sz w:val="24"/>
                <w:lang w:val="en-US" w:eastAsia="zh-CN"/>
              </w:rPr>
              <w:t>约</w:t>
            </w:r>
            <w:r>
              <w:rPr>
                <w:rFonts w:hint="default"/>
                <w:color w:val="FF0000"/>
                <w:sz w:val="24"/>
              </w:rPr>
              <w:t>为</w:t>
            </w:r>
            <w:r>
              <w:rPr>
                <w:rFonts w:hint="eastAsia"/>
                <w:color w:val="FF0000"/>
                <w:sz w:val="24"/>
                <w:lang w:val="en-US" w:eastAsia="zh-CN"/>
              </w:rPr>
              <w:t>10000</w:t>
            </w:r>
            <w:r>
              <w:rPr>
                <w:rFonts w:hint="default"/>
                <w:color w:val="FF0000"/>
                <w:sz w:val="24"/>
              </w:rPr>
              <w:t>m</w:t>
            </w:r>
            <w:r>
              <w:rPr>
                <w:rFonts w:hint="default"/>
                <w:color w:val="FF0000"/>
                <w:sz w:val="24"/>
                <w:vertAlign w:val="superscript"/>
              </w:rPr>
              <w:t>3</w:t>
            </w:r>
            <w:r>
              <w:rPr>
                <w:rFonts w:hint="default"/>
                <w:color w:val="FF0000"/>
                <w:sz w:val="24"/>
              </w:rPr>
              <w:t xml:space="preserve"> /h，可保证</w:t>
            </w:r>
            <w:r>
              <w:rPr>
                <w:rFonts w:hint="eastAsia"/>
                <w:color w:val="FF0000"/>
                <w:sz w:val="24"/>
                <w:lang w:val="en-US" w:eastAsia="zh-CN"/>
              </w:rPr>
              <w:t>熔化</w:t>
            </w:r>
            <w:r>
              <w:rPr>
                <w:rFonts w:hint="default"/>
                <w:color w:val="FF0000"/>
                <w:sz w:val="24"/>
              </w:rPr>
              <w:t>粉尘90%的废气收集效率</w:t>
            </w:r>
            <w:r>
              <w:rPr>
                <w:rFonts w:hint="eastAsia"/>
                <w:color w:val="FF0000"/>
                <w:sz w:val="24"/>
                <w:lang w:eastAsia="zh-CN"/>
              </w:rPr>
              <w:t>。</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本项目铝锭熔融过程中产生一定的烟尘，烟尘主要为金属氧化物（氧化铝）。</w:t>
            </w:r>
            <w:r>
              <w:rPr>
                <w:color w:val="000000" w:themeColor="text1"/>
                <w:sz w:val="24"/>
                <w14:textFill>
                  <w14:solidFill>
                    <w14:schemeClr w14:val="tx1"/>
                  </w14:solidFill>
                </w14:textFill>
              </w:rPr>
              <w:t>参照</w:t>
            </w:r>
            <w:r>
              <w:rPr>
                <w:rFonts w:hint="eastAsia"/>
                <w:color w:val="000000" w:themeColor="text1"/>
                <w:kern w:val="0"/>
                <w:sz w:val="24"/>
                <w:lang w:bidi="ar"/>
                <w14:textFill>
                  <w14:solidFill>
                    <w14:schemeClr w14:val="tx1"/>
                  </w14:solidFill>
                </w14:textFill>
              </w:rPr>
              <w:t>《排放源统计调查产排污核算方法和系数手册》（公告2021年第24号）中33-37</w:t>
            </w:r>
            <w:r>
              <w:rPr>
                <w:rFonts w:hint="eastAsia"/>
                <w:color w:val="000000" w:themeColor="text1"/>
                <w:kern w:val="0"/>
                <w:sz w:val="24"/>
                <w:lang w:eastAsia="zh-CN" w:bidi="ar"/>
                <w14:textFill>
                  <w14:solidFill>
                    <w14:schemeClr w14:val="tx1"/>
                  </w14:solidFill>
                </w14:textFill>
              </w:rPr>
              <w:t>，</w:t>
            </w:r>
            <w:r>
              <w:rPr>
                <w:rFonts w:hint="eastAsia"/>
                <w:color w:val="000000" w:themeColor="text1"/>
                <w:kern w:val="0"/>
                <w:sz w:val="24"/>
                <w:lang w:bidi="ar"/>
                <w14:textFill>
                  <w14:solidFill>
                    <w14:schemeClr w14:val="tx1"/>
                  </w14:solidFill>
                </w14:textFill>
              </w:rPr>
              <w:t>431-434机械行业系数手册</w:t>
            </w:r>
            <w:r>
              <w:rPr>
                <w:rFonts w:hint="eastAsia"/>
                <w:color w:val="000000" w:themeColor="text1"/>
                <w:sz w:val="24"/>
                <w14:textFill>
                  <w14:solidFill>
                    <w14:schemeClr w14:val="tx1"/>
                  </w14:solidFill>
                </w14:textFill>
              </w:rPr>
              <w:t>，粉尘产污系数为0.525千克/吨-产品。”本项目铝锭用量大约为400吨，则熔炼粉尘产生量为0.21t/a。压铸车间年工作时间为2400h。本项目拟在中央熔炉炉口加装集气罩，收集效率为90%。熔炼粉尘经收集后通过布袋除尘器处理达标后由15m高排气筒DA001排放，风机风量为10000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/h，去除率95%以上，烟尘排放量为0.00945t/a，排放速率为0.00394kg/h，排放浓度为0.394mg/m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废气未收集部分在车间内无组织排放，则</w:t>
            </w:r>
            <w:r>
              <w:rPr>
                <w:rFonts w:hint="eastAsia"/>
                <w:color w:val="000000" w:themeColor="text1"/>
                <w:sz w:val="24"/>
                <w14:textFill>
                  <w14:solidFill>
                    <w14:schemeClr w14:val="tx1"/>
                  </w14:solidFill>
                </w14:textFill>
              </w:rPr>
              <w:t>粉尘</w:t>
            </w:r>
            <w:r>
              <w:rPr>
                <w:color w:val="000000" w:themeColor="text1"/>
                <w:kern w:val="0"/>
                <w:sz w:val="24"/>
                <w14:textFill>
                  <w14:solidFill>
                    <w14:schemeClr w14:val="tx1"/>
                  </w14:solidFill>
                </w14:textFill>
              </w:rPr>
              <w:t>无组织排放量为</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21</w:t>
            </w:r>
            <w:r>
              <w:rPr>
                <w:color w:val="000000" w:themeColor="text1"/>
                <w:sz w:val="24"/>
                <w14:textFill>
                  <w14:solidFill>
                    <w14:schemeClr w14:val="tx1"/>
                  </w14:solidFill>
                </w14:textFill>
              </w:rPr>
              <w:t>t/a。</w:t>
            </w:r>
          </w:p>
          <w:p>
            <w:pPr>
              <w:spacing w:line="360" w:lineRule="auto"/>
              <w:ind w:firstLine="480" w:firstLineChars="200"/>
              <w:rPr>
                <w:sz w:val="24"/>
              </w:rPr>
            </w:pPr>
            <w:r>
              <w:rPr>
                <w:rFonts w:hint="eastAsia"/>
                <w:color w:val="000000" w:themeColor="text1"/>
                <w:sz w:val="24"/>
                <w14:textFill>
                  <w14:solidFill>
                    <w14:schemeClr w14:val="tx1"/>
                  </w14:solidFill>
                </w14:textFill>
              </w:rPr>
              <w:t>②</w:t>
            </w:r>
            <w:r>
              <w:rPr>
                <w:rFonts w:hint="eastAsia"/>
                <w:sz w:val="24"/>
              </w:rPr>
              <w:t>压铸废气</w:t>
            </w:r>
          </w:p>
          <w:p>
            <w:pPr>
              <w:spacing w:line="360" w:lineRule="auto"/>
              <w:ind w:firstLine="480" w:firstLineChars="200"/>
              <w:rPr>
                <w:rFonts w:hint="default"/>
                <w:color w:val="FF0000"/>
                <w:sz w:val="24"/>
              </w:rPr>
            </w:pPr>
            <w:r>
              <w:rPr>
                <w:rFonts w:hint="default"/>
                <w:color w:val="FF0000"/>
                <w:sz w:val="24"/>
              </w:rPr>
              <w:t>项目设有</w:t>
            </w:r>
            <w:r>
              <w:rPr>
                <w:rFonts w:hint="eastAsia"/>
                <w:color w:val="FF0000"/>
                <w:sz w:val="24"/>
                <w:lang w:eastAsia="zh-CN"/>
              </w:rPr>
              <w:t>5</w:t>
            </w:r>
            <w:r>
              <w:rPr>
                <w:rFonts w:hint="default"/>
                <w:color w:val="FF0000"/>
                <w:sz w:val="24"/>
              </w:rPr>
              <w:t>台</w:t>
            </w:r>
            <w:r>
              <w:rPr>
                <w:rFonts w:hint="eastAsia"/>
                <w:color w:val="FF0000"/>
                <w:sz w:val="24"/>
                <w:lang w:val="en-US" w:eastAsia="zh-CN"/>
              </w:rPr>
              <w:t>压铸机</w:t>
            </w:r>
            <w:r>
              <w:rPr>
                <w:rFonts w:hint="default"/>
                <w:color w:val="FF0000"/>
                <w:sz w:val="24"/>
              </w:rPr>
              <w:t>，产生的</w:t>
            </w:r>
            <w:r>
              <w:rPr>
                <w:rFonts w:hint="eastAsia"/>
                <w:color w:val="FF0000"/>
                <w:sz w:val="24"/>
                <w:lang w:val="en-US" w:eastAsia="zh-CN"/>
              </w:rPr>
              <w:t>压铸有机废气</w:t>
            </w:r>
            <w:r>
              <w:rPr>
                <w:rFonts w:hint="default"/>
                <w:color w:val="FF0000"/>
                <w:sz w:val="24"/>
              </w:rPr>
              <w:t>经集气罩进行收集。根据《环境工程技术手册：废气处理工程技术手册》</w:t>
            </w:r>
            <w:r>
              <w:rPr>
                <w:rFonts w:hint="eastAsia"/>
                <w:color w:val="FF0000"/>
                <w:sz w:val="24"/>
                <w:lang w:eastAsia="zh-CN"/>
              </w:rPr>
              <w:t>（王纯、张殿印主编，化学工业出版社，2013 年1月第1版）</w:t>
            </w:r>
            <w:r>
              <w:rPr>
                <w:rFonts w:hint="default"/>
                <w:color w:val="FF0000"/>
                <w:sz w:val="24"/>
              </w:rPr>
              <w:t>，推荐的适用于上部集气罩的风量计算公式为：</w:t>
            </w:r>
          </w:p>
          <w:p>
            <w:pPr>
              <w:spacing w:line="360" w:lineRule="auto"/>
              <w:ind w:firstLine="480" w:firstLineChars="200"/>
              <w:rPr>
                <w:rFonts w:hint="default"/>
                <w:color w:val="FF0000"/>
                <w:sz w:val="24"/>
              </w:rPr>
            </w:pPr>
            <w:r>
              <w:rPr>
                <w:rFonts w:hint="default"/>
                <w:color w:val="FF0000"/>
                <w:sz w:val="24"/>
              </w:rPr>
              <w:t>Q=1.4WHVx</w:t>
            </w:r>
          </w:p>
          <w:p>
            <w:pPr>
              <w:spacing w:line="360" w:lineRule="auto"/>
              <w:ind w:firstLine="480" w:firstLineChars="200"/>
              <w:rPr>
                <w:rFonts w:hint="default"/>
                <w:color w:val="FF0000"/>
                <w:sz w:val="24"/>
              </w:rPr>
            </w:pPr>
            <w:r>
              <w:rPr>
                <w:rFonts w:hint="default"/>
                <w:color w:val="FF0000"/>
                <w:sz w:val="24"/>
              </w:rPr>
              <w:t>式中：Q-集气罩排风量，m</w:t>
            </w:r>
            <w:r>
              <w:rPr>
                <w:rFonts w:hint="default"/>
                <w:color w:val="FF0000"/>
                <w:sz w:val="24"/>
                <w:vertAlign w:val="superscript"/>
              </w:rPr>
              <w:t>3</w:t>
            </w:r>
            <w:r>
              <w:rPr>
                <w:rFonts w:hint="default"/>
                <w:color w:val="FF0000"/>
                <w:sz w:val="24"/>
              </w:rPr>
              <w:t>/s；</w:t>
            </w:r>
          </w:p>
          <w:p>
            <w:pPr>
              <w:spacing w:line="360" w:lineRule="auto"/>
              <w:ind w:firstLine="480" w:firstLineChars="200"/>
              <w:rPr>
                <w:rFonts w:hint="default"/>
                <w:color w:val="FF0000"/>
                <w:sz w:val="24"/>
              </w:rPr>
            </w:pPr>
            <w:r>
              <w:rPr>
                <w:rFonts w:hint="default"/>
                <w:color w:val="FF0000"/>
                <w:sz w:val="24"/>
              </w:rPr>
              <w:t>H-污染源至罩口的距离，本项目为 0</w:t>
            </w:r>
            <w:r>
              <w:rPr>
                <w:rFonts w:hint="eastAsia"/>
                <w:color w:val="FF0000"/>
                <w:sz w:val="24"/>
                <w:lang w:val="en-US" w:eastAsia="zh-CN"/>
              </w:rPr>
              <w:t>.</w:t>
            </w:r>
            <w:r>
              <w:rPr>
                <w:rFonts w:hint="eastAsia"/>
                <w:color w:val="FF0000"/>
                <w:sz w:val="24"/>
                <w:lang w:eastAsia="zh-CN"/>
              </w:rPr>
              <w:t>4</w:t>
            </w:r>
            <w:r>
              <w:rPr>
                <w:rFonts w:hint="default"/>
                <w:color w:val="FF0000"/>
                <w:sz w:val="24"/>
              </w:rPr>
              <w:t>m；</w:t>
            </w:r>
          </w:p>
          <w:p>
            <w:pPr>
              <w:spacing w:line="360" w:lineRule="auto"/>
              <w:ind w:firstLine="480" w:firstLineChars="200"/>
              <w:rPr>
                <w:rFonts w:hint="default"/>
                <w:color w:val="FF0000"/>
                <w:sz w:val="24"/>
              </w:rPr>
            </w:pPr>
            <w:r>
              <w:rPr>
                <w:rFonts w:hint="default"/>
                <w:color w:val="FF0000"/>
                <w:sz w:val="24"/>
              </w:rPr>
              <w:t>W-罩口周长，m；</w:t>
            </w:r>
          </w:p>
          <w:p>
            <w:pPr>
              <w:spacing w:line="360" w:lineRule="auto"/>
              <w:ind w:firstLine="480" w:firstLineChars="200"/>
              <w:rPr>
                <w:rFonts w:hint="default"/>
                <w:color w:val="FF0000"/>
                <w:sz w:val="24"/>
              </w:rPr>
            </w:pPr>
            <w:r>
              <w:rPr>
                <w:rFonts w:hint="default"/>
                <w:color w:val="FF0000"/>
                <w:sz w:val="24"/>
              </w:rPr>
              <w:t>Vx-最小控制风速，m/s，根据要求，采用外部集气罩的距集气罩开口面最远处的无组织排放位置控制风速不低于 0.3 m/s，本项目取 0.3m/s。</w:t>
            </w:r>
          </w:p>
          <w:p>
            <w:pPr>
              <w:spacing w:line="360" w:lineRule="auto"/>
              <w:ind w:firstLine="480" w:firstLineChars="200"/>
              <w:rPr>
                <w:rFonts w:hint="default"/>
                <w:color w:val="FF0000"/>
                <w:sz w:val="24"/>
              </w:rPr>
            </w:pPr>
            <w:r>
              <w:rPr>
                <w:rFonts w:hint="default"/>
                <w:color w:val="FF0000"/>
                <w:sz w:val="24"/>
              </w:rPr>
              <w:t>根据建设单位提供的</w:t>
            </w:r>
            <w:r>
              <w:rPr>
                <w:rFonts w:hint="eastAsia"/>
                <w:color w:val="FF0000"/>
                <w:sz w:val="24"/>
                <w:lang w:val="en-US" w:eastAsia="zh-CN"/>
              </w:rPr>
              <w:t>压铸机</w:t>
            </w:r>
            <w:r>
              <w:rPr>
                <w:rFonts w:hint="default"/>
                <w:color w:val="FF0000"/>
                <w:sz w:val="24"/>
              </w:rPr>
              <w:t>集气罩罩口尺寸及数量，本项目激光切割机废气处理设施风量计算情况见表 4-</w:t>
            </w:r>
            <w:r>
              <w:rPr>
                <w:rFonts w:hint="eastAsia"/>
                <w:color w:val="FF0000"/>
                <w:sz w:val="24"/>
                <w:lang w:val="en-US" w:eastAsia="zh-CN"/>
              </w:rPr>
              <w:t>2</w:t>
            </w:r>
            <w:r>
              <w:rPr>
                <w:rFonts w:hint="default"/>
                <w:color w:val="FF0000"/>
                <w:sz w:val="24"/>
              </w:rPr>
              <w:t>。</w:t>
            </w:r>
          </w:p>
          <w:p>
            <w:pPr>
              <w:spacing w:line="240" w:lineRule="auto"/>
              <w:ind w:firstLine="422" w:firstLineChars="200"/>
              <w:jc w:val="center"/>
              <w:rPr>
                <w:rFonts w:hint="default"/>
                <w:b/>
                <w:color w:val="FF0000"/>
                <w:szCs w:val="21"/>
                <w:vertAlign w:val="baseline"/>
              </w:rPr>
            </w:pPr>
            <w:r>
              <w:rPr>
                <w:rFonts w:hint="default"/>
                <w:b/>
                <w:color w:val="FF0000"/>
                <w:sz w:val="21"/>
                <w:szCs w:val="21"/>
                <w:lang w:val="en-US" w:eastAsia="zh-CN"/>
              </w:rPr>
              <w:t>表4-</w:t>
            </w:r>
            <w:r>
              <w:rPr>
                <w:rFonts w:hint="eastAsia"/>
                <w:b/>
                <w:color w:val="FF0000"/>
                <w:sz w:val="21"/>
                <w:szCs w:val="21"/>
                <w:lang w:val="en-US" w:eastAsia="zh-CN"/>
              </w:rPr>
              <w:t>2</w:t>
            </w:r>
            <w:r>
              <w:rPr>
                <w:rFonts w:hint="default"/>
                <w:b/>
                <w:color w:val="FF0000"/>
                <w:sz w:val="21"/>
                <w:szCs w:val="21"/>
                <w:lang w:val="en-US" w:eastAsia="zh-CN"/>
              </w:rPr>
              <w:t xml:space="preserve"> 项目</w:t>
            </w:r>
            <w:r>
              <w:rPr>
                <w:rFonts w:hint="eastAsia"/>
                <w:b/>
                <w:color w:val="FF0000"/>
                <w:sz w:val="21"/>
                <w:szCs w:val="21"/>
                <w:lang w:val="en-US" w:eastAsia="zh-CN"/>
              </w:rPr>
              <w:t>压铸</w:t>
            </w:r>
            <w:r>
              <w:rPr>
                <w:rFonts w:hint="default"/>
                <w:b/>
                <w:color w:val="FF0000"/>
                <w:sz w:val="21"/>
                <w:szCs w:val="21"/>
                <w:lang w:val="en-US" w:eastAsia="zh-CN"/>
              </w:rPr>
              <w:t>废气风量计算一览表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1"/>
              <w:gridCol w:w="1223"/>
              <w:gridCol w:w="1223"/>
              <w:gridCol w:w="1223"/>
              <w:gridCol w:w="1223"/>
              <w:gridCol w:w="1223"/>
              <w:gridCol w:w="1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5"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区域</w:t>
                  </w:r>
                </w:p>
              </w:tc>
              <w:tc>
                <w:tcPr>
                  <w:tcW w:w="1496"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罩口周长（m）</w:t>
                  </w:r>
                </w:p>
              </w:tc>
              <w:tc>
                <w:tcPr>
                  <w:tcW w:w="1496"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控制风速（m/s）</w:t>
                  </w:r>
                </w:p>
              </w:tc>
              <w:tc>
                <w:tcPr>
                  <w:tcW w:w="1496"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eastAsia="zh-CN"/>
                    </w:rPr>
                  </w:pPr>
                  <w:r>
                    <w:rPr>
                      <w:rFonts w:hint="default" w:ascii="Times New Roman" w:hAnsi="Times New Roman" w:eastAsia="宋体" w:cs="Times New Roman"/>
                      <w:b/>
                      <w:color w:val="FF0000"/>
                      <w:szCs w:val="21"/>
                      <w:vertAlign w:val="baseline"/>
                    </w:rPr>
                    <w:t>污染源至罩口的距离</w:t>
                  </w:r>
                  <w:r>
                    <w:rPr>
                      <w:rFonts w:hint="default" w:ascii="Times New Roman" w:hAnsi="Times New Roman" w:eastAsia="宋体" w:cs="Times New Roman"/>
                      <w:b/>
                      <w:color w:val="FF0000"/>
                      <w:szCs w:val="21"/>
                      <w:vertAlign w:val="baseline"/>
                      <w:lang w:eastAsia="zh-CN"/>
                    </w:rPr>
                    <w:t>（</w:t>
                  </w:r>
                  <w:r>
                    <w:rPr>
                      <w:rFonts w:hint="default" w:ascii="Times New Roman" w:hAnsi="Times New Roman" w:eastAsia="宋体" w:cs="Times New Roman"/>
                      <w:b/>
                      <w:color w:val="FF0000"/>
                      <w:szCs w:val="21"/>
                      <w:vertAlign w:val="baseline"/>
                      <w:lang w:val="en-US" w:eastAsia="zh-CN"/>
                    </w:rPr>
                    <w:t>m</w:t>
                  </w:r>
                  <w:r>
                    <w:rPr>
                      <w:rFonts w:hint="default" w:ascii="Times New Roman" w:hAnsi="Times New Roman" w:eastAsia="宋体" w:cs="Times New Roman"/>
                      <w:b/>
                      <w:color w:val="FF0000"/>
                      <w:szCs w:val="21"/>
                      <w:vertAlign w:val="baseline"/>
                      <w:lang w:eastAsia="zh-CN"/>
                    </w:rPr>
                    <w:t>）</w:t>
                  </w:r>
                </w:p>
              </w:tc>
              <w:tc>
                <w:tcPr>
                  <w:tcW w:w="1496"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rPr>
                  </w:pPr>
                  <w:r>
                    <w:rPr>
                      <w:rFonts w:hint="default" w:ascii="Times New Roman" w:hAnsi="Times New Roman" w:eastAsia="宋体" w:cs="Times New Roman"/>
                      <w:b/>
                      <w:color w:val="FF0000"/>
                      <w:szCs w:val="21"/>
                      <w:vertAlign w:val="baseline"/>
                    </w:rPr>
                    <w:t>单个集气罩风量（m</w:t>
                  </w:r>
                  <w:r>
                    <w:rPr>
                      <w:rFonts w:hint="default" w:ascii="Times New Roman" w:hAnsi="Times New Roman" w:eastAsia="宋体" w:cs="Times New Roman"/>
                      <w:b/>
                      <w:color w:val="FF0000"/>
                      <w:szCs w:val="21"/>
                      <w:vertAlign w:val="superscript"/>
                    </w:rPr>
                    <w:t xml:space="preserve">3 </w:t>
                  </w:r>
                  <w:r>
                    <w:rPr>
                      <w:rFonts w:hint="default" w:ascii="Times New Roman" w:hAnsi="Times New Roman" w:eastAsia="宋体" w:cs="Times New Roman"/>
                      <w:b/>
                      <w:color w:val="FF0000"/>
                      <w:szCs w:val="21"/>
                      <w:vertAlign w:val="baseline"/>
                    </w:rPr>
                    <w:t>/h）</w:t>
                  </w:r>
                </w:p>
              </w:tc>
              <w:tc>
                <w:tcPr>
                  <w:tcW w:w="1496"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集气罩个数（个）</w:t>
                  </w:r>
                </w:p>
              </w:tc>
              <w:tc>
                <w:tcPr>
                  <w:tcW w:w="1496"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计算总风量（m</w:t>
                  </w:r>
                  <w:r>
                    <w:rPr>
                      <w:rFonts w:hint="default" w:ascii="Times New Roman" w:hAnsi="Times New Roman" w:eastAsia="宋体" w:cs="Times New Roman"/>
                      <w:b/>
                      <w:color w:val="FF0000"/>
                      <w:szCs w:val="21"/>
                      <w:vertAlign w:val="superscript"/>
                      <w:lang w:val="en-US" w:eastAsia="zh-CN"/>
                    </w:rPr>
                    <w:t>3</w:t>
                  </w:r>
                  <w:r>
                    <w:rPr>
                      <w:rFonts w:hint="default" w:ascii="Times New Roman" w:hAnsi="Times New Roman" w:eastAsia="宋体" w:cs="Times New Roman"/>
                      <w:b/>
                      <w:color w:val="FF0000"/>
                      <w:szCs w:val="21"/>
                      <w:vertAlign w:val="baseli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5" w:type="dxa"/>
                  <w:vAlign w:val="center"/>
                </w:tcPr>
                <w:p>
                  <w:pPr>
                    <w:adjustRightInd w:val="0"/>
                    <w:snapToGrid w:val="0"/>
                    <w:spacing w:line="240" w:lineRule="auto"/>
                    <w:jc w:val="center"/>
                    <w:rPr>
                      <w:rFonts w:hint="eastAsia" w:ascii="Times New Roman" w:hAnsi="Times New Roman" w:eastAsia="宋体" w:cs="Times New Roman"/>
                      <w:b w:val="0"/>
                      <w:bCs w:val="0"/>
                      <w:color w:val="FF0000"/>
                      <w:szCs w:val="21"/>
                      <w:vertAlign w:val="baseline"/>
                      <w:lang w:eastAsia="zh-CN"/>
                    </w:rPr>
                  </w:pPr>
                  <w:r>
                    <w:rPr>
                      <w:rFonts w:hint="eastAsia" w:cs="Times New Roman"/>
                      <w:b w:val="0"/>
                      <w:bCs w:val="0"/>
                      <w:color w:val="FF0000"/>
                      <w:sz w:val="21"/>
                      <w:szCs w:val="21"/>
                      <w:lang w:val="en-US" w:eastAsia="zh-CN"/>
                    </w:rPr>
                    <w:t>压铸机</w:t>
                  </w:r>
                </w:p>
              </w:tc>
              <w:tc>
                <w:tcPr>
                  <w:tcW w:w="1496"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2.512（φ0.8）</w:t>
                  </w:r>
                </w:p>
              </w:tc>
              <w:tc>
                <w:tcPr>
                  <w:tcW w:w="1496"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0.3</w:t>
                  </w:r>
                </w:p>
              </w:tc>
              <w:tc>
                <w:tcPr>
                  <w:tcW w:w="1496"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0.4</w:t>
                  </w:r>
                </w:p>
              </w:tc>
              <w:tc>
                <w:tcPr>
                  <w:tcW w:w="1496"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1520</w:t>
                  </w:r>
                </w:p>
              </w:tc>
              <w:tc>
                <w:tcPr>
                  <w:tcW w:w="1496"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5</w:t>
                  </w:r>
                </w:p>
              </w:tc>
              <w:tc>
                <w:tcPr>
                  <w:tcW w:w="1496"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7600</w:t>
                  </w:r>
                </w:p>
              </w:tc>
            </w:tr>
          </w:tbl>
          <w:p>
            <w:pPr>
              <w:spacing w:line="360" w:lineRule="auto"/>
              <w:ind w:firstLine="480" w:firstLineChars="200"/>
              <w:rPr>
                <w:rFonts w:hint="eastAsia" w:eastAsia="宋体"/>
                <w:color w:val="FF0000"/>
                <w:sz w:val="24"/>
                <w:lang w:val="en-US" w:eastAsia="zh-CN"/>
              </w:rPr>
            </w:pPr>
            <w:r>
              <w:rPr>
                <w:rFonts w:hint="default"/>
                <w:color w:val="FF0000"/>
                <w:sz w:val="24"/>
              </w:rPr>
              <w:t>考虑到风压损失、管道距离等因素，本项目</w:t>
            </w:r>
            <w:r>
              <w:rPr>
                <w:rFonts w:hint="eastAsia"/>
                <w:color w:val="FF0000"/>
                <w:sz w:val="24"/>
                <w:lang w:val="en-US" w:eastAsia="zh-CN"/>
              </w:rPr>
              <w:t>压铸有机废气</w:t>
            </w:r>
            <w:r>
              <w:rPr>
                <w:rFonts w:hint="default"/>
                <w:color w:val="FF0000"/>
                <w:sz w:val="24"/>
              </w:rPr>
              <w:t>所设</w:t>
            </w:r>
            <w:r>
              <w:rPr>
                <w:rFonts w:hint="eastAsia"/>
                <w:color w:val="FF0000"/>
                <w:sz w:val="24"/>
                <w:lang w:val="en-US" w:eastAsia="zh-CN"/>
              </w:rPr>
              <w:t>二级活性炭吸附装置</w:t>
            </w:r>
            <w:r>
              <w:rPr>
                <w:rFonts w:hint="default"/>
                <w:color w:val="FF0000"/>
                <w:sz w:val="24"/>
              </w:rPr>
              <w:t>配套风机风量取计算风量的 1.</w:t>
            </w:r>
            <w:r>
              <w:rPr>
                <w:rFonts w:hint="eastAsia"/>
                <w:color w:val="FF0000"/>
                <w:sz w:val="24"/>
                <w:lang w:val="en-US" w:eastAsia="zh-CN"/>
              </w:rPr>
              <w:t>3</w:t>
            </w:r>
            <w:r>
              <w:rPr>
                <w:rFonts w:hint="default"/>
                <w:color w:val="FF0000"/>
                <w:sz w:val="24"/>
              </w:rPr>
              <w:t>倍，即设计风量</w:t>
            </w:r>
            <w:r>
              <w:rPr>
                <w:rFonts w:hint="eastAsia"/>
                <w:color w:val="FF0000"/>
                <w:sz w:val="24"/>
                <w:lang w:val="en-US" w:eastAsia="zh-CN"/>
              </w:rPr>
              <w:t>约</w:t>
            </w:r>
            <w:r>
              <w:rPr>
                <w:rFonts w:hint="default"/>
                <w:color w:val="FF0000"/>
                <w:sz w:val="24"/>
              </w:rPr>
              <w:t>为</w:t>
            </w:r>
            <w:r>
              <w:rPr>
                <w:rFonts w:hint="eastAsia"/>
                <w:color w:val="FF0000"/>
                <w:sz w:val="24"/>
                <w:lang w:val="en-US" w:eastAsia="zh-CN"/>
              </w:rPr>
              <w:t>10000</w:t>
            </w:r>
            <w:r>
              <w:rPr>
                <w:rFonts w:hint="default"/>
                <w:color w:val="FF0000"/>
                <w:sz w:val="24"/>
              </w:rPr>
              <w:t>m</w:t>
            </w:r>
            <w:r>
              <w:rPr>
                <w:rFonts w:hint="default"/>
                <w:color w:val="FF0000"/>
                <w:sz w:val="24"/>
                <w:vertAlign w:val="superscript"/>
              </w:rPr>
              <w:t>3</w:t>
            </w:r>
            <w:r>
              <w:rPr>
                <w:rFonts w:hint="default"/>
                <w:color w:val="FF0000"/>
                <w:sz w:val="24"/>
              </w:rPr>
              <w:t xml:space="preserve"> /h，可保证</w:t>
            </w:r>
            <w:r>
              <w:rPr>
                <w:rFonts w:hint="eastAsia"/>
                <w:color w:val="FF0000"/>
                <w:sz w:val="24"/>
                <w:lang w:val="en-US" w:eastAsia="zh-CN"/>
              </w:rPr>
              <w:t>熔化</w:t>
            </w:r>
            <w:r>
              <w:rPr>
                <w:rFonts w:hint="default"/>
                <w:color w:val="FF0000"/>
                <w:sz w:val="24"/>
              </w:rPr>
              <w:t>粉尘90%的废气收集效率</w:t>
            </w:r>
            <w:r>
              <w:rPr>
                <w:rFonts w:hint="eastAsia"/>
                <w:color w:val="FF0000"/>
                <w:sz w:val="24"/>
                <w:lang w:eastAsia="zh-CN"/>
              </w:rPr>
              <w:t>。</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在压铸时使用脱模剂喷在钢模上，防止压铸完成的部件粘结在模具上。本项目压铸时模具温度很高，脱模剂约95%在高温压铸工序损耗挥发。脱模剂所含的矿物油聚合物遇高温后挥发产生废气G2，按非甲烷总烃计，根据企业提供MSDS所知，非甲烷总烃的产生量按脱模剂内的矿物油聚合物完全挥发计算，则本项目产生非甲烷总烃0.25t/a。压铸工序年工作时间为2400h。产生的压铸废气经吸风口收集，收集后经一套二级活性炭吸收装置处理后通过1根15m高排气筒DA002排放。吸风口对废气收集效率为90%，二级活性炭吸收装置对非甲烷总烃处理效率≥90%（本项目取90%），风机风量为10000m</w:t>
            </w:r>
            <w:r>
              <w:rPr>
                <w:rFonts w:hint="eastAsia"/>
                <w:color w:val="000000" w:themeColor="text1"/>
                <w:sz w:val="24"/>
                <w:vertAlign w:val="superscript"/>
                <w14:textFill>
                  <w14:solidFill>
                    <w14:schemeClr w14:val="tx1"/>
                  </w14:solidFill>
                </w14:textFill>
              </w:rPr>
              <w:t>3</w:t>
            </w:r>
            <w:r>
              <w:rPr>
                <w:rFonts w:hint="eastAsia"/>
                <w:color w:val="000000" w:themeColor="text1"/>
                <w:kern w:val="0"/>
                <w:sz w:val="24"/>
                <w14:textFill>
                  <w14:solidFill>
                    <w14:schemeClr w14:val="tx1"/>
                  </w14:solidFill>
                </w14:textFill>
              </w:rPr>
              <w:t>/h，年工作时间2400h。则非甲烷总烃排放量为0.0225t/a，排放速率为0.01kg/h，排放浓度为0.936mg/m</w:t>
            </w:r>
            <w:r>
              <w:rPr>
                <w:rFonts w:hint="eastAsia"/>
                <w:color w:val="000000" w:themeColor="text1"/>
                <w:sz w:val="24"/>
                <w:vertAlign w:val="superscript"/>
                <w14:textFill>
                  <w14:solidFill>
                    <w14:schemeClr w14:val="tx1"/>
                  </w14:solidFill>
                </w14:textFill>
              </w:rPr>
              <w:t>3</w:t>
            </w:r>
            <w:r>
              <w:rPr>
                <w:rFonts w:hint="eastAsia"/>
                <w:color w:val="000000" w:themeColor="text1"/>
                <w:kern w:val="0"/>
                <w:sz w:val="24"/>
                <w14:textFill>
                  <w14:solidFill>
                    <w14:schemeClr w14:val="tx1"/>
                  </w14:solidFill>
                </w14:textFill>
              </w:rPr>
              <w:t>。</w:t>
            </w:r>
            <w:r>
              <w:rPr>
                <w:color w:val="000000" w:themeColor="text1"/>
                <w:sz w:val="24"/>
                <w14:textFill>
                  <w14:solidFill>
                    <w14:schemeClr w14:val="tx1"/>
                  </w14:solidFill>
                </w14:textFill>
              </w:rPr>
              <w:t>废气未收集部分在车间内无组织排放，则</w:t>
            </w:r>
            <w:r>
              <w:rPr>
                <w:rFonts w:hint="eastAsia"/>
                <w:color w:val="000000" w:themeColor="text1"/>
                <w:sz w:val="24"/>
                <w14:textFill>
                  <w14:solidFill>
                    <w14:schemeClr w14:val="tx1"/>
                  </w14:solidFill>
                </w14:textFill>
              </w:rPr>
              <w:t>非甲烷总烃</w:t>
            </w:r>
            <w:r>
              <w:rPr>
                <w:color w:val="000000" w:themeColor="text1"/>
                <w:kern w:val="0"/>
                <w:sz w:val="24"/>
                <w14:textFill>
                  <w14:solidFill>
                    <w14:schemeClr w14:val="tx1"/>
                  </w14:solidFill>
                </w14:textFill>
              </w:rPr>
              <w:t>无组织排放量为</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25</w:t>
            </w:r>
            <w:r>
              <w:rPr>
                <w:color w:val="000000" w:themeColor="text1"/>
                <w:sz w:val="24"/>
                <w14:textFill>
                  <w14:solidFill>
                    <w14:schemeClr w14:val="tx1"/>
                  </w14:solidFill>
                </w14:textFill>
              </w:rPr>
              <w:t>t/a。</w:t>
            </w:r>
          </w:p>
          <w:p>
            <w:pPr>
              <w:spacing w:line="360" w:lineRule="auto"/>
              <w:ind w:firstLine="480" w:firstLineChars="200"/>
              <w:rPr>
                <w:sz w:val="24"/>
              </w:rPr>
            </w:pPr>
            <w:r>
              <w:rPr>
                <w:rFonts w:hint="eastAsia"/>
                <w:sz w:val="24"/>
              </w:rPr>
              <w:t>③抛丸废气</w:t>
            </w:r>
          </w:p>
          <w:p>
            <w:pPr>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抛丸粉尘经布袋除尘器处理后合并由1根15m高的排气筒（DA003）排放。抛丸过程中产生的粉尘主要包括工件表面残留的砂、氧化皮，</w:t>
            </w:r>
            <w:r>
              <w:rPr>
                <w:color w:val="000000" w:themeColor="text1"/>
                <w:sz w:val="24"/>
                <w14:textFill>
                  <w14:solidFill>
                    <w14:schemeClr w14:val="tx1"/>
                  </w14:solidFill>
                </w14:textFill>
              </w:rPr>
              <w:t>参照</w:t>
            </w:r>
            <w:r>
              <w:rPr>
                <w:rFonts w:hint="eastAsia"/>
                <w:color w:val="000000" w:themeColor="text1"/>
                <w:kern w:val="0"/>
                <w:sz w:val="24"/>
                <w:lang w:bidi="ar"/>
                <w14:textFill>
                  <w14:solidFill>
                    <w14:schemeClr w14:val="tx1"/>
                  </w14:solidFill>
                </w14:textFill>
              </w:rPr>
              <w:t>《排放源统计调查产排污核算方法和系数手册》（公告2021年第24号）中33-37</w:t>
            </w:r>
            <w:r>
              <w:rPr>
                <w:rFonts w:hint="eastAsia"/>
                <w:color w:val="000000" w:themeColor="text1"/>
                <w:kern w:val="0"/>
                <w:sz w:val="24"/>
                <w:lang w:eastAsia="zh-CN" w:bidi="ar"/>
                <w14:textFill>
                  <w14:solidFill>
                    <w14:schemeClr w14:val="tx1"/>
                  </w14:solidFill>
                </w14:textFill>
              </w:rPr>
              <w:t>，</w:t>
            </w:r>
            <w:r>
              <w:rPr>
                <w:rFonts w:hint="eastAsia"/>
                <w:color w:val="000000" w:themeColor="text1"/>
                <w:kern w:val="0"/>
                <w:sz w:val="24"/>
                <w:lang w:bidi="ar"/>
                <w14:textFill>
                  <w14:solidFill>
                    <w14:schemeClr w14:val="tx1"/>
                  </w14:solidFill>
                </w14:textFill>
              </w:rPr>
              <w:t>431-434机械行业系数手册</w:t>
            </w:r>
            <w:r>
              <w:rPr>
                <w:rFonts w:hint="eastAsia"/>
                <w:color w:val="000000" w:themeColor="text1"/>
                <w:sz w:val="24"/>
                <w14:textFill>
                  <w14:solidFill>
                    <w14:schemeClr w14:val="tx1"/>
                  </w14:solidFill>
                </w14:textFill>
              </w:rPr>
              <w:t>，粉尘产污系数为2.19千克/吨-产品。”本项目铝锭用量大约为400吨，则抛丸粉尘产生量为0.876t/a，抛丸机密闭运行，运行时间为800h/a，风机风量为10000m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/h，去除率90%，粉尘排放量为0.0876t/a，排放速率为0.1095kg/h，排放浓度为10.95mg/m</w:t>
            </w:r>
            <w:r>
              <w:rPr>
                <w:rFonts w:hint="eastAsia"/>
                <w:color w:val="000000" w:themeColor="text1"/>
                <w:sz w:val="24"/>
                <w:vertAlign w:val="superscript"/>
                <w14:textFill>
                  <w14:solidFill>
                    <w14:schemeClr w14:val="tx1"/>
                  </w14:solidFill>
                </w14:textFill>
              </w:rPr>
              <w:t>3</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④喷塑废气</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本项目的塑粉的用量</w:t>
            </w:r>
            <w:r>
              <w:rPr>
                <w:rFonts w:hint="eastAsia"/>
                <w:color w:val="000000" w:themeColor="text1"/>
                <w:sz w:val="24"/>
                <w14:textFill>
                  <w14:solidFill>
                    <w14:schemeClr w14:val="tx1"/>
                  </w14:solidFill>
                </w14:textFill>
              </w:rPr>
              <w:t>预计为</w:t>
            </w:r>
            <w:r>
              <w:rPr>
                <w:color w:val="000000" w:themeColor="text1"/>
                <w:sz w:val="24"/>
                <w14:textFill>
                  <w14:solidFill>
                    <w14:schemeClr w14:val="tx1"/>
                  </w14:solidFill>
                </w14:textFill>
              </w:rPr>
              <w:t>120.0t/a，因此未喷上的粉末产生量约为24.0t/a。粉末喷涂过程是在喷粉房（又称防尘室）内进行的，该房体完全封闭，且呈负压，通过风机将房体内没有喷上工件的粉末吸入回收系统（因此房体内呈负压），该回收系统是一套圆筒形的玻璃纤维过滤装置（其作用相当于袋式除尘器），未喷上工件的粉末经回收系统处理后全部回用，气体外排。根据目前国内相关统计资料，该类除尘过滤装置去除效率可达99.5%以上，据此估算得静电粉末喷涂外排废气粉尘量约为0.12t/a（0.05kg/h）。建设项目设有座粉末自动回收喷粉室，配备1台5000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/h风机，故粉尘排放浓度为10mg/m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，通过1根</w:t>
            </w:r>
            <w:r>
              <w:rPr>
                <w:rFonts w:hint="eastAsia"/>
                <w:color w:val="000000" w:themeColor="text1"/>
                <w:sz w:val="24"/>
                <w14:textFill>
                  <w14:solidFill>
                    <w14:schemeClr w14:val="tx1"/>
                  </w14:solidFill>
                </w14:textFill>
              </w:rPr>
              <w:t>15</w:t>
            </w:r>
            <w:r>
              <w:rPr>
                <w:color w:val="000000" w:themeColor="text1"/>
                <w:sz w:val="24"/>
                <w14:textFill>
                  <w14:solidFill>
                    <w14:schemeClr w14:val="tx1"/>
                  </w14:solidFill>
                </w14:textFill>
              </w:rPr>
              <w:t>m高排气筒</w:t>
            </w:r>
            <w:r>
              <w:rPr>
                <w:rFonts w:hint="eastAsia"/>
                <w:color w:val="000000" w:themeColor="text1"/>
                <w:sz w:val="24"/>
                <w14:textFill>
                  <w14:solidFill>
                    <w14:schemeClr w14:val="tx1"/>
                  </w14:solidFill>
                </w14:textFill>
              </w:rPr>
              <w:t>DA004</w:t>
            </w:r>
            <w:r>
              <w:rPr>
                <w:color w:val="000000" w:themeColor="text1"/>
                <w:sz w:val="24"/>
                <w14:textFill>
                  <w14:solidFill>
                    <w14:schemeClr w14:val="tx1"/>
                  </w14:solidFill>
                </w14:textFill>
              </w:rPr>
              <w:t>排放，排放浓度及排放速率均能达到</w:t>
            </w:r>
            <w:r>
              <w:rPr>
                <w:rFonts w:hint="eastAsia"/>
                <w:color w:val="000000" w:themeColor="text1"/>
                <w:sz w:val="24"/>
                <w14:textFill>
                  <w14:solidFill>
                    <w14:schemeClr w14:val="tx1"/>
                  </w14:solidFill>
                </w14:textFill>
              </w:rPr>
              <w:t>江苏省</w:t>
            </w:r>
            <w:r>
              <w:rPr>
                <w:color w:val="000000" w:themeColor="text1"/>
                <w:sz w:val="24"/>
                <w14:textFill>
                  <w14:solidFill>
                    <w14:schemeClr w14:val="tx1"/>
                  </w14:solidFill>
                </w14:textFill>
              </w:rPr>
              <w:t>《大气污染物综合排放标准》</w:t>
            </w:r>
            <w:r>
              <w:rPr>
                <w:rFonts w:hint="eastAsia"/>
                <w:color w:val="000000" w:themeColor="text1"/>
                <w:sz w:val="24"/>
                <w14:textFill>
                  <w14:solidFill>
                    <w14:schemeClr w14:val="tx1"/>
                  </w14:solidFill>
                </w14:textFill>
              </w:rPr>
              <w:t>DB32/4041-2021</w:t>
            </w:r>
            <w:r>
              <w:rPr>
                <w:color w:val="000000" w:themeColor="text1"/>
                <w:sz w:val="24"/>
                <w14:textFill>
                  <w14:solidFill>
                    <w14:schemeClr w14:val="tx1"/>
                  </w14:solidFill>
                </w14:textFill>
              </w:rPr>
              <w:t>表</w:t>
            </w: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中的标准。</w:t>
            </w:r>
          </w:p>
          <w:p>
            <w:pPr>
              <w:spacing w:line="360" w:lineRule="auto"/>
              <w:ind w:firstLine="480" w:firstLineChars="200"/>
              <w:rPr>
                <w:sz w:val="24"/>
              </w:rPr>
            </w:pPr>
            <w:r>
              <w:rPr>
                <w:rFonts w:hint="eastAsia"/>
                <w:sz w:val="24"/>
              </w:rPr>
              <w:t>⑤固化废气</w:t>
            </w:r>
          </w:p>
          <w:p>
            <w:pPr>
              <w:spacing w:line="360" w:lineRule="auto"/>
              <w:ind w:firstLine="480" w:firstLineChars="200"/>
              <w:rPr>
                <w:color w:val="000000" w:themeColor="text1"/>
                <w:kern w:val="0"/>
                <w:sz w:val="24"/>
                <w:lang w:bidi="ar"/>
                <w14:textFill>
                  <w14:solidFill>
                    <w14:schemeClr w14:val="tx1"/>
                  </w14:solidFill>
                </w14:textFill>
              </w:rPr>
            </w:pP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塑粉</w:t>
            </w:r>
            <w:r>
              <w:rPr>
                <w:color w:val="000000" w:themeColor="text1"/>
                <w:sz w:val="24"/>
                <w14:textFill>
                  <w14:solidFill>
                    <w14:schemeClr w14:val="tx1"/>
                  </w14:solidFill>
                </w14:textFill>
              </w:rPr>
              <w:t>粒子原料主要使用聚酯环氧树脂混合型粉末涂料(不含溶剂成分)</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用量为</w:t>
            </w:r>
            <w:r>
              <w:rPr>
                <w:rFonts w:hint="eastAsia"/>
                <w:color w:val="000000" w:themeColor="text1"/>
                <w:sz w:val="24"/>
                <w14:textFill>
                  <w14:solidFill>
                    <w14:schemeClr w14:val="tx1"/>
                  </w14:solidFill>
                </w14:textFill>
              </w:rPr>
              <w:t>120</w:t>
            </w:r>
            <w:r>
              <w:rPr>
                <w:color w:val="000000" w:themeColor="text1"/>
                <w:sz w:val="24"/>
                <w14:textFill>
                  <w14:solidFill>
                    <w14:schemeClr w14:val="tx1"/>
                  </w14:solidFill>
                </w14:textFill>
              </w:rPr>
              <w:t>t/a。静电</w:t>
            </w:r>
            <w:r>
              <w:rPr>
                <w:rFonts w:hint="eastAsia"/>
                <w:color w:val="000000" w:themeColor="text1"/>
                <w:sz w:val="24"/>
                <w14:textFill>
                  <w14:solidFill>
                    <w14:schemeClr w14:val="tx1"/>
                  </w14:solidFill>
                </w14:textFill>
              </w:rPr>
              <w:t>粉末</w:t>
            </w:r>
            <w:r>
              <w:rPr>
                <w:color w:val="000000" w:themeColor="text1"/>
                <w:sz w:val="24"/>
                <w14:textFill>
                  <w14:solidFill>
                    <w14:schemeClr w14:val="tx1"/>
                  </w14:solidFill>
                </w14:textFill>
              </w:rPr>
              <w:t>喷涂后的粉体烘烤固化温度为200℃。资料显示聚酯、环氧树脂的热分解温度在300℃以上，不会导致原材料粒子分解，产生的废气以非甲烷总烃计。参照</w:t>
            </w:r>
            <w:r>
              <w:rPr>
                <w:rFonts w:hint="eastAsia"/>
                <w:color w:val="000000" w:themeColor="text1"/>
                <w:kern w:val="0"/>
                <w:sz w:val="24"/>
                <w:lang w:bidi="ar"/>
                <w14:textFill>
                  <w14:solidFill>
                    <w14:schemeClr w14:val="tx1"/>
                  </w14:solidFill>
                </w14:textFill>
              </w:rPr>
              <w:t>《排放源统计调查产排污核算方法和系数手册》（公告2021年第24号）中33-37</w:t>
            </w:r>
            <w:r>
              <w:rPr>
                <w:rFonts w:hint="eastAsia"/>
                <w:color w:val="000000" w:themeColor="text1"/>
                <w:kern w:val="0"/>
                <w:sz w:val="24"/>
                <w:lang w:eastAsia="zh-CN" w:bidi="ar"/>
                <w14:textFill>
                  <w14:solidFill>
                    <w14:schemeClr w14:val="tx1"/>
                  </w14:solidFill>
                </w14:textFill>
              </w:rPr>
              <w:t>，</w:t>
            </w:r>
            <w:r>
              <w:rPr>
                <w:rFonts w:hint="eastAsia"/>
                <w:color w:val="000000" w:themeColor="text1"/>
                <w:kern w:val="0"/>
                <w:sz w:val="24"/>
                <w:lang w:bidi="ar"/>
                <w14:textFill>
                  <w14:solidFill>
                    <w14:schemeClr w14:val="tx1"/>
                  </w14:solidFill>
                </w14:textFill>
              </w:rPr>
              <w:t>431-434机械行业系数手册喷塑后烘干工艺挥发性有机物产生系数为1.2kg/t-原料，喷塑工艺</w:t>
            </w:r>
            <w:r>
              <w:rPr>
                <w:rFonts w:hint="eastAsia"/>
                <w:color w:val="000000" w:themeColor="text1"/>
                <w:sz w:val="24"/>
                <w14:textFill>
                  <w14:solidFill>
                    <w14:schemeClr w14:val="tx1"/>
                  </w14:solidFill>
                </w14:textFill>
              </w:rPr>
              <w:t>塑粉</w:t>
            </w:r>
            <w:r>
              <w:rPr>
                <w:color w:val="000000" w:themeColor="text1"/>
                <w:sz w:val="24"/>
                <w14:textFill>
                  <w14:solidFill>
                    <w14:schemeClr w14:val="tx1"/>
                  </w14:solidFill>
                </w14:textFill>
              </w:rPr>
              <w:t>用量为</w:t>
            </w:r>
            <w:r>
              <w:rPr>
                <w:rFonts w:hint="eastAsia"/>
                <w:color w:val="000000" w:themeColor="text1"/>
                <w:sz w:val="24"/>
                <w14:textFill>
                  <w14:solidFill>
                    <w14:schemeClr w14:val="tx1"/>
                  </w14:solidFill>
                </w14:textFill>
              </w:rPr>
              <w:t>120</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w:t>
            </w:r>
            <w:r>
              <w:rPr>
                <w:rFonts w:hint="eastAsia"/>
                <w:color w:val="000000" w:themeColor="text1"/>
                <w:kern w:val="0"/>
                <w:sz w:val="24"/>
                <w:lang w:bidi="ar"/>
                <w14:textFill>
                  <w14:solidFill>
                    <w14:schemeClr w14:val="tx1"/>
                  </w14:solidFill>
                </w14:textFill>
              </w:rPr>
              <w:t>则非甲烷总烃产生量为0.144</w:t>
            </w:r>
            <w:r>
              <w:rPr>
                <w:rFonts w:hint="eastAsia"/>
                <w:color w:val="000000" w:themeColor="text1"/>
                <w:sz w:val="24"/>
                <w14:textFill>
                  <w14:solidFill>
                    <w14:schemeClr w14:val="tx1"/>
                  </w14:solidFill>
                </w14:textFill>
              </w:rPr>
              <w:t>t/a。</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喷塑</w:t>
            </w:r>
            <w:r>
              <w:rPr>
                <w:color w:val="000000" w:themeColor="text1"/>
                <w:kern w:val="0"/>
                <w:sz w:val="24"/>
                <w14:textFill>
                  <w14:solidFill>
                    <w14:schemeClr w14:val="tx1"/>
                  </w14:solidFill>
                </w14:textFill>
              </w:rPr>
              <w:t>产生的非甲烷总烃废气</w:t>
            </w:r>
            <w:r>
              <w:rPr>
                <w:color w:val="000000" w:themeColor="text1"/>
                <w:sz w:val="24"/>
                <w14:textFill>
                  <w14:solidFill>
                    <w14:schemeClr w14:val="tx1"/>
                  </w14:solidFill>
                </w14:textFill>
              </w:rPr>
              <w:t>通过</w:t>
            </w:r>
            <w:r>
              <w:rPr>
                <w:rFonts w:hint="eastAsia"/>
                <w:color w:val="000000" w:themeColor="text1"/>
                <w:sz w:val="24"/>
                <w14:textFill>
                  <w14:solidFill>
                    <w14:schemeClr w14:val="tx1"/>
                  </w14:solidFill>
                </w14:textFill>
              </w:rPr>
              <w:t>集气罩合并</w:t>
            </w:r>
            <w:r>
              <w:rPr>
                <w:color w:val="000000" w:themeColor="text1"/>
                <w:sz w:val="24"/>
                <w14:textFill>
                  <w14:solidFill>
                    <w14:schemeClr w14:val="tx1"/>
                  </w14:solidFill>
                </w14:textFill>
              </w:rPr>
              <w:t>收集后，由二级活性炭吸附装置处理，最终通过一根</w:t>
            </w:r>
            <w:r>
              <w:rPr>
                <w:rFonts w:hint="eastAsia"/>
                <w:color w:val="000000" w:themeColor="text1"/>
                <w:sz w:val="24"/>
                <w14:textFill>
                  <w14:solidFill>
                    <w14:schemeClr w14:val="tx1"/>
                  </w14:solidFill>
                </w14:textFill>
              </w:rPr>
              <w:t>15</w:t>
            </w:r>
            <w:r>
              <w:rPr>
                <w:color w:val="000000" w:themeColor="text1"/>
                <w:sz w:val="24"/>
                <w14:textFill>
                  <w14:solidFill>
                    <w14:schemeClr w14:val="tx1"/>
                  </w14:solidFill>
                </w14:textFill>
              </w:rPr>
              <w:t>m排气筒</w:t>
            </w:r>
            <w:r>
              <w:rPr>
                <w:rFonts w:hint="eastAsia"/>
                <w:color w:val="000000" w:themeColor="text1"/>
                <w:sz w:val="24"/>
                <w14:textFill>
                  <w14:solidFill>
                    <w14:schemeClr w14:val="tx1"/>
                  </w14:solidFill>
                </w14:textFill>
              </w:rPr>
              <w:t>DA</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高空排放。风机风量为10000m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/h，收集效率为90%，处理效率90%，则</w:t>
            </w:r>
            <w:r>
              <w:rPr>
                <w:color w:val="000000" w:themeColor="text1"/>
                <w:kern w:val="0"/>
                <w:sz w:val="24"/>
                <w14:textFill>
                  <w14:solidFill>
                    <w14:schemeClr w14:val="tx1"/>
                  </w14:solidFill>
                </w14:textFill>
              </w:rPr>
              <w:t>非甲烷总烃的有组织排放量为</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1296</w:t>
            </w:r>
            <w:r>
              <w:rPr>
                <w:color w:val="000000" w:themeColor="text1"/>
                <w:sz w:val="24"/>
                <w14:textFill>
                  <w14:solidFill>
                    <w14:schemeClr w14:val="tx1"/>
                  </w14:solidFill>
                </w14:textFill>
              </w:rPr>
              <w:t>t/a。</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废气未收集部分在车间内无组织排放，则</w:t>
            </w:r>
            <w:r>
              <w:rPr>
                <w:color w:val="000000" w:themeColor="text1"/>
                <w:kern w:val="0"/>
                <w:sz w:val="24"/>
                <w14:textFill>
                  <w14:solidFill>
                    <w14:schemeClr w14:val="tx1"/>
                  </w14:solidFill>
                </w14:textFill>
              </w:rPr>
              <w:t>非甲烷总烃的无组织排放量为</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144</w:t>
            </w:r>
            <w:r>
              <w:rPr>
                <w:color w:val="000000" w:themeColor="text1"/>
                <w:sz w:val="24"/>
                <w14:textFill>
                  <w14:solidFill>
                    <w14:schemeClr w14:val="tx1"/>
                  </w14:solidFill>
                </w14:textFill>
              </w:rPr>
              <w:t>t/a。</w:t>
            </w:r>
          </w:p>
          <w:p>
            <w:pPr>
              <w:spacing w:line="360" w:lineRule="auto"/>
              <w:ind w:firstLine="480" w:firstLineChars="200"/>
              <w:rPr>
                <w:sz w:val="24"/>
              </w:rPr>
            </w:pPr>
            <w:r>
              <w:rPr>
                <w:rFonts w:hint="eastAsia"/>
                <w:sz w:val="24"/>
              </w:rPr>
              <w:t>⑥挤管、热粘废气</w:t>
            </w:r>
          </w:p>
          <w:p>
            <w:pPr>
              <w:spacing w:line="360" w:lineRule="auto"/>
              <w:ind w:firstLine="480" w:firstLineChars="200"/>
              <w:rPr>
                <w:rFonts w:hint="default"/>
                <w:color w:val="FF0000"/>
                <w:sz w:val="24"/>
              </w:rPr>
            </w:pPr>
            <w:r>
              <w:rPr>
                <w:rFonts w:hint="default"/>
                <w:color w:val="FF0000"/>
                <w:sz w:val="24"/>
              </w:rPr>
              <w:t>项目设有</w:t>
            </w:r>
            <w:r>
              <w:rPr>
                <w:rFonts w:hint="eastAsia"/>
                <w:color w:val="FF0000"/>
                <w:sz w:val="24"/>
                <w:lang w:val="en-US" w:eastAsia="zh-CN"/>
              </w:rPr>
              <w:t>7</w:t>
            </w:r>
            <w:r>
              <w:rPr>
                <w:rFonts w:hint="default"/>
                <w:color w:val="FF0000"/>
                <w:sz w:val="24"/>
              </w:rPr>
              <w:t>台</w:t>
            </w:r>
            <w:r>
              <w:rPr>
                <w:rFonts w:hint="eastAsia"/>
                <w:color w:val="FF0000"/>
                <w:sz w:val="24"/>
                <w:lang w:val="en-US" w:eastAsia="zh-CN"/>
              </w:rPr>
              <w:t>挤管机和3台高温附着机</w:t>
            </w:r>
            <w:r>
              <w:rPr>
                <w:rFonts w:hint="default"/>
                <w:color w:val="FF0000"/>
                <w:sz w:val="24"/>
              </w:rPr>
              <w:t>，产生的</w:t>
            </w:r>
            <w:r>
              <w:rPr>
                <w:rFonts w:hint="eastAsia"/>
                <w:color w:val="FF0000"/>
                <w:sz w:val="24"/>
                <w:lang w:val="en-US" w:eastAsia="zh-CN"/>
              </w:rPr>
              <w:t>有机废气</w:t>
            </w:r>
            <w:r>
              <w:rPr>
                <w:rFonts w:hint="default"/>
                <w:color w:val="FF0000"/>
                <w:sz w:val="24"/>
              </w:rPr>
              <w:t>经集气罩进行收集。根据《环境工程技术手册：废气处理工程技术手册》</w:t>
            </w:r>
            <w:r>
              <w:rPr>
                <w:rFonts w:hint="eastAsia"/>
                <w:color w:val="FF0000"/>
                <w:sz w:val="24"/>
                <w:lang w:eastAsia="zh-CN"/>
              </w:rPr>
              <w:t>（王纯、张殿印主编，化学工业出版社，2013 年1月第1版）</w:t>
            </w:r>
            <w:r>
              <w:rPr>
                <w:rFonts w:hint="default"/>
                <w:color w:val="FF0000"/>
                <w:sz w:val="24"/>
              </w:rPr>
              <w:t>，推荐的适用于上部集气罩的风量计算公式为：</w:t>
            </w:r>
          </w:p>
          <w:p>
            <w:pPr>
              <w:spacing w:line="360" w:lineRule="auto"/>
              <w:ind w:firstLine="480" w:firstLineChars="200"/>
              <w:rPr>
                <w:rFonts w:hint="default"/>
                <w:color w:val="FF0000"/>
                <w:sz w:val="24"/>
              </w:rPr>
            </w:pPr>
            <w:r>
              <w:rPr>
                <w:rFonts w:hint="default"/>
                <w:color w:val="FF0000"/>
                <w:sz w:val="24"/>
              </w:rPr>
              <w:t>Q=1.4WHVx</w:t>
            </w:r>
          </w:p>
          <w:p>
            <w:pPr>
              <w:spacing w:line="360" w:lineRule="auto"/>
              <w:ind w:firstLine="480" w:firstLineChars="200"/>
              <w:rPr>
                <w:rFonts w:hint="default"/>
                <w:color w:val="FF0000"/>
                <w:sz w:val="24"/>
              </w:rPr>
            </w:pPr>
            <w:r>
              <w:rPr>
                <w:rFonts w:hint="default"/>
                <w:color w:val="FF0000"/>
                <w:sz w:val="24"/>
              </w:rPr>
              <w:t>式中：Q-集气罩排风量，m</w:t>
            </w:r>
            <w:r>
              <w:rPr>
                <w:rFonts w:hint="default"/>
                <w:color w:val="FF0000"/>
                <w:sz w:val="24"/>
                <w:vertAlign w:val="superscript"/>
              </w:rPr>
              <w:t>3</w:t>
            </w:r>
            <w:r>
              <w:rPr>
                <w:rFonts w:hint="default"/>
                <w:color w:val="FF0000"/>
                <w:sz w:val="24"/>
              </w:rPr>
              <w:t>/s；</w:t>
            </w:r>
          </w:p>
          <w:p>
            <w:pPr>
              <w:spacing w:line="360" w:lineRule="auto"/>
              <w:ind w:firstLine="480" w:firstLineChars="200"/>
              <w:rPr>
                <w:rFonts w:hint="default"/>
                <w:color w:val="FF0000"/>
                <w:sz w:val="24"/>
              </w:rPr>
            </w:pPr>
            <w:r>
              <w:rPr>
                <w:rFonts w:hint="default"/>
                <w:color w:val="FF0000"/>
                <w:sz w:val="24"/>
              </w:rPr>
              <w:t>H-污染源至罩口的距离，本项目为 0</w:t>
            </w:r>
            <w:r>
              <w:rPr>
                <w:rFonts w:hint="eastAsia"/>
                <w:color w:val="FF0000"/>
                <w:sz w:val="24"/>
                <w:lang w:val="en-US" w:eastAsia="zh-CN"/>
              </w:rPr>
              <w:t>.3</w:t>
            </w:r>
            <w:r>
              <w:rPr>
                <w:rFonts w:hint="default"/>
                <w:color w:val="FF0000"/>
                <w:sz w:val="24"/>
              </w:rPr>
              <w:t>m；</w:t>
            </w:r>
          </w:p>
          <w:p>
            <w:pPr>
              <w:spacing w:line="360" w:lineRule="auto"/>
              <w:ind w:firstLine="480" w:firstLineChars="200"/>
              <w:rPr>
                <w:rFonts w:hint="default"/>
                <w:color w:val="FF0000"/>
                <w:sz w:val="24"/>
              </w:rPr>
            </w:pPr>
            <w:r>
              <w:rPr>
                <w:rFonts w:hint="default"/>
                <w:color w:val="FF0000"/>
                <w:sz w:val="24"/>
              </w:rPr>
              <w:t>W-罩口周长，m；</w:t>
            </w:r>
          </w:p>
          <w:p>
            <w:pPr>
              <w:spacing w:line="360" w:lineRule="auto"/>
              <w:ind w:firstLine="480" w:firstLineChars="200"/>
              <w:rPr>
                <w:rFonts w:hint="default"/>
                <w:color w:val="FF0000"/>
                <w:sz w:val="24"/>
              </w:rPr>
            </w:pPr>
            <w:r>
              <w:rPr>
                <w:rFonts w:hint="default"/>
                <w:color w:val="FF0000"/>
                <w:sz w:val="24"/>
              </w:rPr>
              <w:t>Vx-最小控制风速，m/s，根据要求，采用外部集气罩的距集气罩开口面最远处的无组织排放位置控制风速不低于 0.3 m/s，本项目取 0.3m/s。</w:t>
            </w:r>
          </w:p>
          <w:p>
            <w:pPr>
              <w:spacing w:line="360" w:lineRule="auto"/>
              <w:ind w:firstLine="480" w:firstLineChars="200"/>
              <w:rPr>
                <w:rFonts w:hint="default"/>
                <w:color w:val="FF0000"/>
                <w:sz w:val="24"/>
              </w:rPr>
            </w:pPr>
            <w:r>
              <w:rPr>
                <w:rFonts w:hint="default"/>
                <w:color w:val="FF0000"/>
                <w:sz w:val="24"/>
              </w:rPr>
              <w:t>根据建设单位提供的</w:t>
            </w:r>
            <w:r>
              <w:rPr>
                <w:rFonts w:hint="eastAsia"/>
                <w:color w:val="FF0000"/>
                <w:sz w:val="24"/>
                <w:lang w:val="en-US" w:eastAsia="zh-CN"/>
              </w:rPr>
              <w:t>压铸机</w:t>
            </w:r>
            <w:r>
              <w:rPr>
                <w:rFonts w:hint="default"/>
                <w:color w:val="FF0000"/>
                <w:sz w:val="24"/>
              </w:rPr>
              <w:t>集气罩罩口尺寸及数量，本项目激光切割机废气处理设施风量计算情况见表 4-</w:t>
            </w:r>
            <w:r>
              <w:rPr>
                <w:rFonts w:hint="eastAsia"/>
                <w:color w:val="FF0000"/>
                <w:sz w:val="24"/>
                <w:lang w:val="en-US" w:eastAsia="zh-CN"/>
              </w:rPr>
              <w:t>3</w:t>
            </w:r>
            <w:r>
              <w:rPr>
                <w:rFonts w:hint="default"/>
                <w:color w:val="FF0000"/>
                <w:sz w:val="24"/>
              </w:rPr>
              <w:t>。</w:t>
            </w:r>
          </w:p>
          <w:p>
            <w:pPr>
              <w:spacing w:line="240" w:lineRule="auto"/>
              <w:ind w:firstLine="422" w:firstLineChars="200"/>
              <w:jc w:val="center"/>
              <w:rPr>
                <w:rFonts w:hint="default"/>
                <w:b/>
                <w:color w:val="FF0000"/>
                <w:szCs w:val="21"/>
                <w:vertAlign w:val="baseline"/>
              </w:rPr>
            </w:pPr>
            <w:r>
              <w:rPr>
                <w:rFonts w:hint="default"/>
                <w:b/>
                <w:color w:val="FF0000"/>
                <w:sz w:val="21"/>
                <w:szCs w:val="21"/>
                <w:lang w:val="en-US" w:eastAsia="zh-CN"/>
              </w:rPr>
              <w:t>表4-</w:t>
            </w:r>
            <w:r>
              <w:rPr>
                <w:rFonts w:hint="eastAsia"/>
                <w:b/>
                <w:color w:val="FF0000"/>
                <w:sz w:val="21"/>
                <w:szCs w:val="21"/>
                <w:lang w:val="en-US" w:eastAsia="zh-CN"/>
              </w:rPr>
              <w:t xml:space="preserve">3 </w:t>
            </w:r>
            <w:r>
              <w:rPr>
                <w:rFonts w:hint="default"/>
                <w:b/>
                <w:color w:val="FF0000"/>
                <w:sz w:val="21"/>
                <w:szCs w:val="21"/>
                <w:lang w:val="en-US" w:eastAsia="zh-CN"/>
              </w:rPr>
              <w:t>项目</w:t>
            </w:r>
            <w:r>
              <w:rPr>
                <w:rFonts w:hint="eastAsia"/>
                <w:b/>
                <w:color w:val="FF0000"/>
                <w:sz w:val="21"/>
                <w:szCs w:val="21"/>
                <w:lang w:val="en-US" w:eastAsia="zh-CN"/>
              </w:rPr>
              <w:t>挤管热粘</w:t>
            </w:r>
            <w:r>
              <w:rPr>
                <w:rFonts w:hint="default"/>
                <w:b/>
                <w:color w:val="FF0000"/>
                <w:sz w:val="21"/>
                <w:szCs w:val="21"/>
                <w:lang w:val="en-US" w:eastAsia="zh-CN"/>
              </w:rPr>
              <w:t>废气风量计算一览表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1"/>
              <w:gridCol w:w="1223"/>
              <w:gridCol w:w="1223"/>
              <w:gridCol w:w="1223"/>
              <w:gridCol w:w="1222"/>
              <w:gridCol w:w="1223"/>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2"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区域</w:t>
                  </w:r>
                </w:p>
              </w:tc>
              <w:tc>
                <w:tcPr>
                  <w:tcW w:w="1495"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罩口周长（m）</w:t>
                  </w:r>
                </w:p>
              </w:tc>
              <w:tc>
                <w:tcPr>
                  <w:tcW w:w="1495"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控制风速（m/s）</w:t>
                  </w:r>
                </w:p>
              </w:tc>
              <w:tc>
                <w:tcPr>
                  <w:tcW w:w="1495"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eastAsia="zh-CN"/>
                    </w:rPr>
                  </w:pPr>
                  <w:r>
                    <w:rPr>
                      <w:rFonts w:hint="default" w:ascii="Times New Roman" w:hAnsi="Times New Roman" w:eastAsia="宋体" w:cs="Times New Roman"/>
                      <w:b/>
                      <w:color w:val="FF0000"/>
                      <w:szCs w:val="21"/>
                      <w:vertAlign w:val="baseline"/>
                    </w:rPr>
                    <w:t>污染源至罩口的距离</w:t>
                  </w:r>
                  <w:r>
                    <w:rPr>
                      <w:rFonts w:hint="default" w:ascii="Times New Roman" w:hAnsi="Times New Roman" w:eastAsia="宋体" w:cs="Times New Roman"/>
                      <w:b/>
                      <w:color w:val="FF0000"/>
                      <w:szCs w:val="21"/>
                      <w:vertAlign w:val="baseline"/>
                      <w:lang w:eastAsia="zh-CN"/>
                    </w:rPr>
                    <w:t>（</w:t>
                  </w:r>
                  <w:r>
                    <w:rPr>
                      <w:rFonts w:hint="default" w:ascii="Times New Roman" w:hAnsi="Times New Roman" w:eastAsia="宋体" w:cs="Times New Roman"/>
                      <w:b/>
                      <w:color w:val="FF0000"/>
                      <w:szCs w:val="21"/>
                      <w:vertAlign w:val="baseline"/>
                      <w:lang w:val="en-US" w:eastAsia="zh-CN"/>
                    </w:rPr>
                    <w:t>m</w:t>
                  </w:r>
                  <w:r>
                    <w:rPr>
                      <w:rFonts w:hint="default" w:ascii="Times New Roman" w:hAnsi="Times New Roman" w:eastAsia="宋体" w:cs="Times New Roman"/>
                      <w:b/>
                      <w:color w:val="FF0000"/>
                      <w:szCs w:val="21"/>
                      <w:vertAlign w:val="baseline"/>
                      <w:lang w:eastAsia="zh-CN"/>
                    </w:rPr>
                    <w:t>）</w:t>
                  </w:r>
                </w:p>
              </w:tc>
              <w:tc>
                <w:tcPr>
                  <w:tcW w:w="1494"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rPr>
                  </w:pPr>
                  <w:r>
                    <w:rPr>
                      <w:rFonts w:hint="default" w:ascii="Times New Roman" w:hAnsi="Times New Roman" w:eastAsia="宋体" w:cs="Times New Roman"/>
                      <w:b/>
                      <w:color w:val="FF0000"/>
                      <w:szCs w:val="21"/>
                      <w:vertAlign w:val="baseline"/>
                    </w:rPr>
                    <w:t>单个集气罩风量（m</w:t>
                  </w:r>
                  <w:r>
                    <w:rPr>
                      <w:rFonts w:hint="default" w:ascii="Times New Roman" w:hAnsi="Times New Roman" w:eastAsia="宋体" w:cs="Times New Roman"/>
                      <w:b/>
                      <w:color w:val="FF0000"/>
                      <w:szCs w:val="21"/>
                      <w:vertAlign w:val="superscript"/>
                    </w:rPr>
                    <w:t xml:space="preserve">3 </w:t>
                  </w:r>
                  <w:r>
                    <w:rPr>
                      <w:rFonts w:hint="default" w:ascii="Times New Roman" w:hAnsi="Times New Roman" w:eastAsia="宋体" w:cs="Times New Roman"/>
                      <w:b/>
                      <w:color w:val="FF0000"/>
                      <w:szCs w:val="21"/>
                      <w:vertAlign w:val="baseline"/>
                    </w:rPr>
                    <w:t>/h）</w:t>
                  </w:r>
                </w:p>
              </w:tc>
              <w:tc>
                <w:tcPr>
                  <w:tcW w:w="1495"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集气罩个数（个）</w:t>
                  </w:r>
                </w:p>
              </w:tc>
              <w:tc>
                <w:tcPr>
                  <w:tcW w:w="1495" w:type="dxa"/>
                  <w:vAlign w:val="center"/>
                </w:tcPr>
                <w:p>
                  <w:pPr>
                    <w:adjustRightInd w:val="0"/>
                    <w:snapToGrid w:val="0"/>
                    <w:spacing w:line="240" w:lineRule="auto"/>
                    <w:jc w:val="center"/>
                    <w:rPr>
                      <w:rFonts w:hint="default" w:ascii="Times New Roman" w:hAnsi="Times New Roman" w:eastAsia="宋体" w:cs="Times New Roman"/>
                      <w:b/>
                      <w:color w:val="FF0000"/>
                      <w:szCs w:val="21"/>
                      <w:vertAlign w:val="baseline"/>
                      <w:lang w:val="en-US" w:eastAsia="zh-CN"/>
                    </w:rPr>
                  </w:pPr>
                  <w:r>
                    <w:rPr>
                      <w:rFonts w:hint="default" w:ascii="Times New Roman" w:hAnsi="Times New Roman" w:eastAsia="宋体" w:cs="Times New Roman"/>
                      <w:b/>
                      <w:color w:val="FF0000"/>
                      <w:szCs w:val="21"/>
                      <w:vertAlign w:val="baseline"/>
                      <w:lang w:val="en-US" w:eastAsia="zh-CN"/>
                    </w:rPr>
                    <w:t>计算总风量（m</w:t>
                  </w:r>
                  <w:r>
                    <w:rPr>
                      <w:rFonts w:hint="default" w:ascii="Times New Roman" w:hAnsi="Times New Roman" w:eastAsia="宋体" w:cs="Times New Roman"/>
                      <w:b/>
                      <w:color w:val="FF0000"/>
                      <w:szCs w:val="21"/>
                      <w:vertAlign w:val="superscript"/>
                      <w:lang w:val="en-US" w:eastAsia="zh-CN"/>
                    </w:rPr>
                    <w:t>3</w:t>
                  </w:r>
                  <w:r>
                    <w:rPr>
                      <w:rFonts w:hint="default" w:ascii="Times New Roman" w:hAnsi="Times New Roman" w:eastAsia="宋体" w:cs="Times New Roman"/>
                      <w:b/>
                      <w:color w:val="FF0000"/>
                      <w:szCs w:val="21"/>
                      <w:vertAlign w:val="baseli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2"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rPr>
                  </w:pPr>
                  <w:r>
                    <w:rPr>
                      <w:rFonts w:hint="default" w:ascii="Times New Roman" w:hAnsi="Times New Roman" w:eastAsia="宋体" w:cs="Times New Roman"/>
                      <w:b w:val="0"/>
                      <w:bCs w:val="0"/>
                      <w:color w:val="FF0000"/>
                      <w:szCs w:val="21"/>
                      <w:vertAlign w:val="baseline"/>
                      <w:lang w:val="en-US" w:eastAsia="zh-CN"/>
                    </w:rPr>
                    <w:t>挤管机</w:t>
                  </w:r>
                </w:p>
              </w:tc>
              <w:tc>
                <w:tcPr>
                  <w:tcW w:w="1495"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eastAsia" w:ascii="Times New Roman" w:hAnsi="Times New Roman" w:eastAsia="宋体" w:cs="Times New Roman"/>
                      <w:b w:val="0"/>
                      <w:bCs w:val="0"/>
                      <w:color w:val="FF0000"/>
                      <w:szCs w:val="21"/>
                      <w:vertAlign w:val="baseline"/>
                      <w:lang w:val="en-US" w:eastAsia="zh-CN"/>
                    </w:rPr>
                    <w:t>1.727</w:t>
                  </w:r>
                  <w:r>
                    <w:rPr>
                      <w:rFonts w:hint="default" w:ascii="Times New Roman" w:hAnsi="Times New Roman" w:eastAsia="宋体" w:cs="Times New Roman"/>
                      <w:b w:val="0"/>
                      <w:bCs w:val="0"/>
                      <w:color w:val="FF0000"/>
                      <w:szCs w:val="21"/>
                      <w:vertAlign w:val="baseline"/>
                      <w:lang w:val="en-US" w:eastAsia="zh-CN"/>
                    </w:rPr>
                    <w:t>（φ0.</w:t>
                  </w:r>
                  <w:r>
                    <w:rPr>
                      <w:rFonts w:hint="eastAsia" w:ascii="Times New Roman" w:hAnsi="Times New Roman" w:eastAsia="宋体" w:cs="Times New Roman"/>
                      <w:b w:val="0"/>
                      <w:bCs w:val="0"/>
                      <w:color w:val="FF0000"/>
                      <w:szCs w:val="21"/>
                      <w:vertAlign w:val="baseline"/>
                      <w:lang w:val="en-US" w:eastAsia="zh-CN"/>
                    </w:rPr>
                    <w:t>55</w:t>
                  </w:r>
                  <w:r>
                    <w:rPr>
                      <w:rFonts w:hint="default" w:ascii="Times New Roman" w:hAnsi="Times New Roman" w:eastAsia="宋体" w:cs="Times New Roman"/>
                      <w:b w:val="0"/>
                      <w:bCs w:val="0"/>
                      <w:color w:val="FF0000"/>
                      <w:szCs w:val="21"/>
                      <w:vertAlign w:val="baseline"/>
                      <w:lang w:val="en-US" w:eastAsia="zh-CN"/>
                    </w:rPr>
                    <w:t>）</w:t>
                  </w:r>
                </w:p>
              </w:tc>
              <w:tc>
                <w:tcPr>
                  <w:tcW w:w="1495"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0.3</w:t>
                  </w:r>
                </w:p>
              </w:tc>
              <w:tc>
                <w:tcPr>
                  <w:tcW w:w="1495"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default" w:ascii="Times New Roman" w:hAnsi="Times New Roman" w:eastAsia="宋体" w:cs="Times New Roman"/>
                      <w:b w:val="0"/>
                      <w:bCs w:val="0"/>
                      <w:color w:val="FF0000"/>
                      <w:szCs w:val="21"/>
                      <w:vertAlign w:val="baseline"/>
                      <w:lang w:val="en-US" w:eastAsia="zh-CN"/>
                    </w:rPr>
                    <w:t>0.</w:t>
                  </w:r>
                  <w:r>
                    <w:rPr>
                      <w:rFonts w:hint="eastAsia" w:ascii="Times New Roman" w:hAnsi="Times New Roman" w:eastAsia="宋体" w:cs="Times New Roman"/>
                      <w:b w:val="0"/>
                      <w:bCs w:val="0"/>
                      <w:color w:val="FF0000"/>
                      <w:szCs w:val="21"/>
                      <w:vertAlign w:val="baseline"/>
                      <w:lang w:val="en-US" w:eastAsia="zh-CN"/>
                    </w:rPr>
                    <w:t>3</w:t>
                  </w:r>
                </w:p>
              </w:tc>
              <w:tc>
                <w:tcPr>
                  <w:tcW w:w="1494"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eastAsia" w:ascii="Times New Roman" w:hAnsi="Times New Roman" w:eastAsia="宋体" w:cs="Times New Roman"/>
                      <w:b w:val="0"/>
                      <w:bCs w:val="0"/>
                      <w:color w:val="FF0000"/>
                      <w:szCs w:val="21"/>
                      <w:vertAlign w:val="baseline"/>
                      <w:lang w:val="en-US" w:eastAsia="zh-CN"/>
                    </w:rPr>
                    <w:t>784</w:t>
                  </w:r>
                </w:p>
              </w:tc>
              <w:tc>
                <w:tcPr>
                  <w:tcW w:w="1495"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eastAsia" w:ascii="Times New Roman" w:hAnsi="Times New Roman" w:eastAsia="宋体" w:cs="Times New Roman"/>
                      <w:b w:val="0"/>
                      <w:bCs w:val="0"/>
                      <w:color w:val="FF0000"/>
                      <w:szCs w:val="21"/>
                      <w:vertAlign w:val="baseline"/>
                      <w:lang w:val="en-US" w:eastAsia="zh-CN"/>
                    </w:rPr>
                    <w:t>7</w:t>
                  </w:r>
                </w:p>
              </w:tc>
              <w:tc>
                <w:tcPr>
                  <w:tcW w:w="1495"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eastAsia" w:ascii="Times New Roman" w:hAnsi="Times New Roman" w:eastAsia="宋体" w:cs="Times New Roman"/>
                      <w:b w:val="0"/>
                      <w:bCs w:val="0"/>
                      <w:color w:val="FF0000"/>
                      <w:szCs w:val="21"/>
                      <w:vertAlign w:val="baseline"/>
                      <w:lang w:val="en-US" w:eastAsia="zh-CN"/>
                    </w:rPr>
                    <w:t>5488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2" w:type="dxa"/>
                  <w:vAlign w:val="center"/>
                </w:tcPr>
                <w:p>
                  <w:pPr>
                    <w:adjustRightInd w:val="0"/>
                    <w:snapToGrid w:val="0"/>
                    <w:spacing w:line="240" w:lineRule="auto"/>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lang w:val="en-US" w:eastAsia="zh-CN"/>
                    </w:rPr>
                    <w:t>高温附着机</w:t>
                  </w:r>
                </w:p>
              </w:tc>
              <w:tc>
                <w:tcPr>
                  <w:tcW w:w="1495" w:type="dxa"/>
                  <w:vAlign w:val="center"/>
                </w:tcPr>
                <w:p>
                  <w:pPr>
                    <w:adjustRightInd w:val="0"/>
                    <w:snapToGrid w:val="0"/>
                    <w:spacing w:line="240" w:lineRule="auto"/>
                    <w:jc w:val="center"/>
                    <w:rPr>
                      <w:rFonts w:hint="default" w:ascii="Times New Roman" w:hAnsi="Times New Roman" w:eastAsia="宋体" w:cs="Times New Roman"/>
                      <w:b w:val="0"/>
                      <w:bCs w:val="0"/>
                      <w:color w:val="FF0000"/>
                      <w:kern w:val="2"/>
                      <w:sz w:val="21"/>
                      <w:szCs w:val="21"/>
                      <w:vertAlign w:val="baseline"/>
                      <w:lang w:val="en-US" w:eastAsia="zh-CN" w:bidi="ar-SA"/>
                    </w:rPr>
                  </w:pPr>
                  <w:r>
                    <w:rPr>
                      <w:rFonts w:hint="eastAsia" w:ascii="Times New Roman" w:hAnsi="Times New Roman" w:eastAsia="宋体" w:cs="Times New Roman"/>
                      <w:b w:val="0"/>
                      <w:bCs w:val="0"/>
                      <w:color w:val="FF0000"/>
                      <w:szCs w:val="21"/>
                      <w:vertAlign w:val="baseline"/>
                      <w:lang w:val="en-US" w:eastAsia="zh-CN"/>
                    </w:rPr>
                    <w:t>1.727</w:t>
                  </w:r>
                  <w:r>
                    <w:rPr>
                      <w:rFonts w:hint="default" w:ascii="Times New Roman" w:hAnsi="Times New Roman" w:eastAsia="宋体" w:cs="Times New Roman"/>
                      <w:b w:val="0"/>
                      <w:bCs w:val="0"/>
                      <w:color w:val="FF0000"/>
                      <w:szCs w:val="21"/>
                      <w:vertAlign w:val="baseline"/>
                      <w:lang w:val="en-US" w:eastAsia="zh-CN"/>
                    </w:rPr>
                    <w:t>（φ0.</w:t>
                  </w:r>
                  <w:r>
                    <w:rPr>
                      <w:rFonts w:hint="eastAsia" w:ascii="Times New Roman" w:hAnsi="Times New Roman" w:eastAsia="宋体" w:cs="Times New Roman"/>
                      <w:b w:val="0"/>
                      <w:bCs w:val="0"/>
                      <w:color w:val="FF0000"/>
                      <w:szCs w:val="21"/>
                      <w:vertAlign w:val="baseline"/>
                      <w:lang w:val="en-US" w:eastAsia="zh-CN"/>
                    </w:rPr>
                    <w:t>55</w:t>
                  </w:r>
                  <w:r>
                    <w:rPr>
                      <w:rFonts w:hint="default" w:ascii="Times New Roman" w:hAnsi="Times New Roman" w:eastAsia="宋体" w:cs="Times New Roman"/>
                      <w:b w:val="0"/>
                      <w:bCs w:val="0"/>
                      <w:color w:val="FF0000"/>
                      <w:szCs w:val="21"/>
                      <w:vertAlign w:val="baseline"/>
                      <w:lang w:val="en-US" w:eastAsia="zh-CN"/>
                    </w:rPr>
                    <w:t>）</w:t>
                  </w:r>
                </w:p>
              </w:tc>
              <w:tc>
                <w:tcPr>
                  <w:tcW w:w="1495" w:type="dxa"/>
                  <w:vAlign w:val="center"/>
                </w:tcPr>
                <w:p>
                  <w:pPr>
                    <w:adjustRightInd w:val="0"/>
                    <w:snapToGrid w:val="0"/>
                    <w:spacing w:line="240" w:lineRule="auto"/>
                    <w:jc w:val="center"/>
                    <w:rPr>
                      <w:rFonts w:hint="default" w:ascii="Times New Roman" w:hAnsi="Times New Roman" w:eastAsia="宋体" w:cs="Times New Roman"/>
                      <w:b w:val="0"/>
                      <w:bCs w:val="0"/>
                      <w:color w:val="FF0000"/>
                      <w:kern w:val="2"/>
                      <w:sz w:val="21"/>
                      <w:szCs w:val="21"/>
                      <w:vertAlign w:val="baseline"/>
                      <w:lang w:val="en-US" w:eastAsia="zh-CN" w:bidi="ar-SA"/>
                    </w:rPr>
                  </w:pPr>
                  <w:r>
                    <w:rPr>
                      <w:rFonts w:hint="default" w:ascii="Times New Roman" w:hAnsi="Times New Roman" w:eastAsia="宋体" w:cs="Times New Roman"/>
                      <w:b w:val="0"/>
                      <w:bCs w:val="0"/>
                      <w:color w:val="FF0000"/>
                      <w:szCs w:val="21"/>
                      <w:vertAlign w:val="baseline"/>
                      <w:lang w:val="en-US" w:eastAsia="zh-CN"/>
                    </w:rPr>
                    <w:t>0.3</w:t>
                  </w:r>
                </w:p>
              </w:tc>
              <w:tc>
                <w:tcPr>
                  <w:tcW w:w="1495" w:type="dxa"/>
                  <w:vAlign w:val="center"/>
                </w:tcPr>
                <w:p>
                  <w:pPr>
                    <w:adjustRightInd w:val="0"/>
                    <w:snapToGrid w:val="0"/>
                    <w:spacing w:line="240" w:lineRule="auto"/>
                    <w:jc w:val="center"/>
                    <w:rPr>
                      <w:rFonts w:hint="default" w:ascii="Times New Roman" w:hAnsi="Times New Roman" w:eastAsia="宋体" w:cs="Times New Roman"/>
                      <w:b w:val="0"/>
                      <w:bCs w:val="0"/>
                      <w:color w:val="FF0000"/>
                      <w:kern w:val="2"/>
                      <w:sz w:val="21"/>
                      <w:szCs w:val="21"/>
                      <w:vertAlign w:val="baseline"/>
                      <w:lang w:val="en-US" w:eastAsia="zh-CN" w:bidi="ar-SA"/>
                    </w:rPr>
                  </w:pPr>
                  <w:r>
                    <w:rPr>
                      <w:rFonts w:hint="default" w:ascii="Times New Roman" w:hAnsi="Times New Roman" w:eastAsia="宋体" w:cs="Times New Roman"/>
                      <w:b w:val="0"/>
                      <w:bCs w:val="0"/>
                      <w:color w:val="FF0000"/>
                      <w:szCs w:val="21"/>
                      <w:vertAlign w:val="baseline"/>
                      <w:lang w:val="en-US" w:eastAsia="zh-CN"/>
                    </w:rPr>
                    <w:t>0.</w:t>
                  </w:r>
                  <w:r>
                    <w:rPr>
                      <w:rFonts w:hint="eastAsia" w:ascii="Times New Roman" w:hAnsi="Times New Roman" w:eastAsia="宋体" w:cs="Times New Roman"/>
                      <w:b w:val="0"/>
                      <w:bCs w:val="0"/>
                      <w:color w:val="FF0000"/>
                      <w:szCs w:val="21"/>
                      <w:vertAlign w:val="baseline"/>
                      <w:lang w:val="en-US" w:eastAsia="zh-CN"/>
                    </w:rPr>
                    <w:t>3</w:t>
                  </w:r>
                </w:p>
              </w:tc>
              <w:tc>
                <w:tcPr>
                  <w:tcW w:w="1494"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eastAsia" w:ascii="Times New Roman" w:hAnsi="Times New Roman" w:eastAsia="宋体" w:cs="Times New Roman"/>
                      <w:b w:val="0"/>
                      <w:bCs w:val="0"/>
                      <w:color w:val="FF0000"/>
                      <w:szCs w:val="21"/>
                      <w:vertAlign w:val="baseline"/>
                      <w:lang w:val="en-US" w:eastAsia="zh-CN"/>
                    </w:rPr>
                    <w:t>784</w:t>
                  </w:r>
                </w:p>
              </w:tc>
              <w:tc>
                <w:tcPr>
                  <w:tcW w:w="1495"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eastAsia" w:ascii="Times New Roman" w:hAnsi="Times New Roman" w:eastAsia="宋体" w:cs="Times New Roman"/>
                      <w:b w:val="0"/>
                      <w:bCs w:val="0"/>
                      <w:color w:val="FF0000"/>
                      <w:szCs w:val="21"/>
                      <w:vertAlign w:val="baseline"/>
                      <w:lang w:val="en-US" w:eastAsia="zh-CN"/>
                    </w:rPr>
                    <w:t>3</w:t>
                  </w:r>
                </w:p>
              </w:tc>
              <w:tc>
                <w:tcPr>
                  <w:tcW w:w="1495" w:type="dxa"/>
                  <w:vAlign w:val="center"/>
                </w:tcPr>
                <w:p>
                  <w:pPr>
                    <w:adjustRightInd w:val="0"/>
                    <w:snapToGrid w:val="0"/>
                    <w:spacing w:line="240" w:lineRule="auto"/>
                    <w:jc w:val="center"/>
                    <w:rPr>
                      <w:rFonts w:hint="default" w:ascii="Times New Roman" w:hAnsi="Times New Roman" w:eastAsia="宋体" w:cs="Times New Roman"/>
                      <w:b w:val="0"/>
                      <w:bCs w:val="0"/>
                      <w:color w:val="FF0000"/>
                      <w:szCs w:val="21"/>
                      <w:vertAlign w:val="baseline"/>
                      <w:lang w:val="en-US" w:eastAsia="zh-CN"/>
                    </w:rPr>
                  </w:pPr>
                  <w:r>
                    <w:rPr>
                      <w:rFonts w:hint="eastAsia" w:ascii="Times New Roman" w:hAnsi="Times New Roman" w:eastAsia="宋体" w:cs="Times New Roman"/>
                      <w:b w:val="0"/>
                      <w:bCs w:val="0"/>
                      <w:color w:val="FF0000"/>
                      <w:szCs w:val="21"/>
                      <w:vertAlign w:val="baseline"/>
                      <w:lang w:val="en-US" w:eastAsia="zh-CN"/>
                    </w:rPr>
                    <w:t>2352</w:t>
                  </w:r>
                </w:p>
              </w:tc>
            </w:tr>
          </w:tbl>
          <w:p>
            <w:pPr>
              <w:spacing w:line="360" w:lineRule="auto"/>
              <w:ind w:firstLine="480" w:firstLineChars="200"/>
              <w:rPr>
                <w:rFonts w:hint="eastAsia" w:eastAsia="宋体"/>
                <w:color w:val="FF0000"/>
                <w:sz w:val="24"/>
                <w:lang w:val="en-US" w:eastAsia="zh-CN"/>
              </w:rPr>
            </w:pPr>
            <w:r>
              <w:rPr>
                <w:rFonts w:hint="default"/>
                <w:color w:val="FF0000"/>
                <w:sz w:val="24"/>
              </w:rPr>
              <w:t>考虑到风压损失、管道距离等因素，本项目</w:t>
            </w:r>
            <w:r>
              <w:rPr>
                <w:rFonts w:hint="eastAsia"/>
                <w:color w:val="FF0000"/>
                <w:sz w:val="24"/>
                <w:lang w:val="en-US" w:eastAsia="zh-CN"/>
              </w:rPr>
              <w:t>压铸有机废气</w:t>
            </w:r>
            <w:r>
              <w:rPr>
                <w:rFonts w:hint="default"/>
                <w:color w:val="FF0000"/>
                <w:sz w:val="24"/>
              </w:rPr>
              <w:t>所设</w:t>
            </w:r>
            <w:r>
              <w:rPr>
                <w:rFonts w:hint="eastAsia"/>
                <w:color w:val="FF0000"/>
                <w:sz w:val="24"/>
                <w:lang w:val="en-US" w:eastAsia="zh-CN"/>
              </w:rPr>
              <w:t>二级活性炭吸附装置</w:t>
            </w:r>
            <w:r>
              <w:rPr>
                <w:rFonts w:hint="default"/>
                <w:color w:val="FF0000"/>
                <w:sz w:val="24"/>
              </w:rPr>
              <w:t>配套风机风量取计算风量的 1.</w:t>
            </w:r>
            <w:r>
              <w:rPr>
                <w:rFonts w:hint="eastAsia"/>
                <w:color w:val="FF0000"/>
                <w:sz w:val="24"/>
                <w:lang w:val="en-US" w:eastAsia="zh-CN"/>
              </w:rPr>
              <w:t>2</w:t>
            </w:r>
            <w:r>
              <w:rPr>
                <w:rFonts w:hint="default"/>
                <w:color w:val="FF0000"/>
                <w:sz w:val="24"/>
              </w:rPr>
              <w:t>倍，即设计风量</w:t>
            </w:r>
            <w:r>
              <w:rPr>
                <w:rFonts w:hint="eastAsia"/>
                <w:color w:val="FF0000"/>
                <w:sz w:val="24"/>
                <w:lang w:val="en-US" w:eastAsia="zh-CN"/>
              </w:rPr>
              <w:t>约</w:t>
            </w:r>
            <w:r>
              <w:rPr>
                <w:rFonts w:hint="default"/>
                <w:color w:val="FF0000"/>
                <w:sz w:val="24"/>
              </w:rPr>
              <w:t>为</w:t>
            </w:r>
            <w:r>
              <w:rPr>
                <w:rFonts w:hint="eastAsia"/>
                <w:color w:val="FF0000"/>
                <w:sz w:val="24"/>
                <w:lang w:val="en-US" w:eastAsia="zh-CN"/>
              </w:rPr>
              <w:t>10000</w:t>
            </w:r>
            <w:r>
              <w:rPr>
                <w:rFonts w:hint="default"/>
                <w:color w:val="FF0000"/>
                <w:sz w:val="24"/>
              </w:rPr>
              <w:t>m</w:t>
            </w:r>
            <w:r>
              <w:rPr>
                <w:rFonts w:hint="default"/>
                <w:color w:val="FF0000"/>
                <w:sz w:val="24"/>
                <w:vertAlign w:val="superscript"/>
              </w:rPr>
              <w:t>3</w:t>
            </w:r>
            <w:r>
              <w:rPr>
                <w:rFonts w:hint="default"/>
                <w:color w:val="FF0000"/>
                <w:sz w:val="24"/>
              </w:rPr>
              <w:t xml:space="preserve"> /h，可保证</w:t>
            </w:r>
            <w:r>
              <w:rPr>
                <w:rFonts w:hint="eastAsia"/>
                <w:color w:val="FF0000"/>
                <w:sz w:val="24"/>
                <w:lang w:val="en-US" w:eastAsia="zh-CN"/>
              </w:rPr>
              <w:t>熔化</w:t>
            </w:r>
            <w:r>
              <w:rPr>
                <w:rFonts w:hint="default"/>
                <w:color w:val="FF0000"/>
                <w:sz w:val="24"/>
              </w:rPr>
              <w:t>粉尘90%的废气收集效率</w:t>
            </w:r>
            <w:r>
              <w:rPr>
                <w:rFonts w:hint="eastAsia"/>
                <w:color w:val="FF0000"/>
                <w:sz w:val="24"/>
                <w:lang w:eastAsia="zh-CN"/>
              </w:rPr>
              <w:t>。</w:t>
            </w:r>
          </w:p>
          <w:p>
            <w:pPr>
              <w:spacing w:line="360" w:lineRule="auto"/>
              <w:ind w:firstLine="480" w:firstLineChars="200"/>
              <w:rPr>
                <w:rFonts w:hint="eastAsia"/>
                <w:color w:val="000000" w:themeColor="text1"/>
                <w:kern w:val="0"/>
                <w:sz w:val="24"/>
                <w:vertAlign w:val="baseline"/>
                <w:lang w:eastAsia="zh-CN"/>
                <w14:textFill>
                  <w14:solidFill>
                    <w14:schemeClr w14:val="tx1"/>
                  </w14:solidFill>
                </w14:textFill>
              </w:rPr>
            </w:pPr>
            <w:r>
              <w:rPr>
                <w:color w:val="000000" w:themeColor="text1"/>
                <w:kern w:val="0"/>
                <w:sz w:val="24"/>
                <w14:textFill>
                  <w14:solidFill>
                    <w14:schemeClr w14:val="tx1"/>
                  </w14:solidFill>
                </w14:textFill>
              </w:rPr>
              <w:t>本项目</w:t>
            </w:r>
            <w:r>
              <w:rPr>
                <w:rFonts w:hint="eastAsia"/>
                <w:color w:val="000000" w:themeColor="text1"/>
                <w:kern w:val="0"/>
                <w:sz w:val="24"/>
                <w14:textFill>
                  <w14:solidFill>
                    <w14:schemeClr w14:val="tx1"/>
                  </w14:solidFill>
                </w14:textFill>
              </w:rPr>
              <w:t>挤管、热粘</w:t>
            </w:r>
            <w:r>
              <w:rPr>
                <w:color w:val="000000" w:themeColor="text1"/>
                <w:kern w:val="0"/>
                <w:sz w:val="24"/>
                <w14:textFill>
                  <w14:solidFill>
                    <w14:schemeClr w14:val="tx1"/>
                  </w14:solidFill>
                </w14:textFill>
              </w:rPr>
              <w:t>过程中产生的有机废气（非甲烷总烃）</w:t>
            </w:r>
            <w:r>
              <w:rPr>
                <w:color w:val="000000" w:themeColor="text1"/>
                <w:sz w:val="24"/>
                <w14:textFill>
                  <w14:solidFill>
                    <w14:schemeClr w14:val="tx1"/>
                  </w14:solidFill>
                </w14:textFill>
              </w:rPr>
              <w:t>通过</w:t>
            </w:r>
            <w:r>
              <w:rPr>
                <w:rFonts w:hint="eastAsia"/>
                <w:color w:val="000000" w:themeColor="text1"/>
                <w:sz w:val="24"/>
                <w14:textFill>
                  <w14:solidFill>
                    <w14:schemeClr w14:val="tx1"/>
                  </w14:solidFill>
                </w14:textFill>
              </w:rPr>
              <w:t>集气罩合并</w:t>
            </w:r>
            <w:r>
              <w:rPr>
                <w:color w:val="000000" w:themeColor="text1"/>
                <w:sz w:val="24"/>
                <w14:textFill>
                  <w14:solidFill>
                    <w14:schemeClr w14:val="tx1"/>
                  </w14:solidFill>
                </w14:textFill>
              </w:rPr>
              <w:t>收集后，由二级活性炭吸附装置处理，最终通过一根</w:t>
            </w:r>
            <w:r>
              <w:rPr>
                <w:rFonts w:hint="eastAsia"/>
                <w:color w:val="000000" w:themeColor="text1"/>
                <w:sz w:val="24"/>
                <w14:textFill>
                  <w14:solidFill>
                    <w14:schemeClr w14:val="tx1"/>
                  </w14:solidFill>
                </w14:textFill>
              </w:rPr>
              <w:t>15</w:t>
            </w:r>
            <w:r>
              <w:rPr>
                <w:color w:val="000000" w:themeColor="text1"/>
                <w:sz w:val="24"/>
                <w14:textFill>
                  <w14:solidFill>
                    <w14:schemeClr w14:val="tx1"/>
                  </w14:solidFill>
                </w14:textFill>
              </w:rPr>
              <w:t>m排气筒</w:t>
            </w:r>
            <w:r>
              <w:rPr>
                <w:rFonts w:hint="eastAsia"/>
                <w:color w:val="000000" w:themeColor="text1"/>
                <w:sz w:val="24"/>
                <w14:textFill>
                  <w14:solidFill>
                    <w14:schemeClr w14:val="tx1"/>
                  </w14:solidFill>
                </w14:textFill>
              </w:rPr>
              <w:t>DA</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高空排放。</w:t>
            </w:r>
            <w:r>
              <w:rPr>
                <w:color w:val="000000" w:themeColor="text1"/>
                <w:kern w:val="0"/>
                <w:sz w:val="24"/>
                <w14:textFill>
                  <w14:solidFill>
                    <w14:schemeClr w14:val="tx1"/>
                  </w14:solidFill>
                </w14:textFill>
              </w:rPr>
              <w:t>本次环评</w:t>
            </w:r>
            <w:r>
              <w:rPr>
                <w:rFonts w:hint="eastAsia"/>
                <w:color w:val="000000" w:themeColor="text1"/>
                <w:kern w:val="0"/>
                <w:sz w:val="24"/>
                <w14:textFill>
                  <w14:solidFill>
                    <w14:schemeClr w14:val="tx1"/>
                  </w14:solidFill>
                </w14:textFill>
              </w:rPr>
              <w:t>热粘</w:t>
            </w:r>
            <w:r>
              <w:rPr>
                <w:color w:val="000000" w:themeColor="text1"/>
                <w:kern w:val="0"/>
                <w:sz w:val="24"/>
                <w14:textFill>
                  <w14:solidFill>
                    <w14:schemeClr w14:val="tx1"/>
                  </w14:solidFill>
                </w14:textFill>
              </w:rPr>
              <w:t>废气参照《空气污染物排放和控制手册》(美国国家环保局)中推荐的</w:t>
            </w:r>
            <w:r>
              <w:rPr>
                <w:rFonts w:hint="eastAsia"/>
                <w:color w:val="000000" w:themeColor="text1"/>
                <w:kern w:val="0"/>
                <w:sz w:val="24"/>
                <w14:textFill>
                  <w14:solidFill>
                    <w14:schemeClr w14:val="tx1"/>
                  </w14:solidFill>
                </w14:textFill>
              </w:rPr>
              <w:t>0.35kgNMHC/t</w:t>
            </w:r>
            <w:r>
              <w:rPr>
                <w:color w:val="000000" w:themeColor="text1"/>
                <w:kern w:val="0"/>
                <w:sz w:val="24"/>
                <w14:textFill>
                  <w14:solidFill>
                    <w14:schemeClr w14:val="tx1"/>
                  </w14:solidFill>
                </w14:textFill>
              </w:rPr>
              <w:t>排放系数进行核算。</w:t>
            </w:r>
            <w:r>
              <w:rPr>
                <w:rFonts w:hint="eastAsia"/>
                <w:color w:val="000000" w:themeColor="text1"/>
                <w:kern w:val="0"/>
                <w:sz w:val="24"/>
                <w14:textFill>
                  <w14:solidFill>
                    <w14:schemeClr w14:val="tx1"/>
                  </w14:solidFill>
                </w14:textFill>
              </w:rPr>
              <w:t>项目树脂年使用量为80吨，则非甲烷总烃产生量为0.028t/a，集气罩效率一般以90%计，未经集气罩收集的10%有机废气在车间内无组织排放，则被收集的有机废气量为0.0252t/a，无组织有机废气排放量为0.0028t/a，项目拟配套风机总风量为10000m</w:t>
            </w:r>
            <w:r>
              <w:rPr>
                <w:rFonts w:hint="eastAsia"/>
                <w:color w:val="000000" w:themeColor="text1"/>
                <w:kern w:val="0"/>
                <w:sz w:val="24"/>
                <w:vertAlign w:val="superscript"/>
                <w14:textFill>
                  <w14:solidFill>
                    <w14:schemeClr w14:val="tx1"/>
                  </w14:solidFill>
                </w14:textFill>
              </w:rPr>
              <w:t>3</w:t>
            </w:r>
            <w:r>
              <w:rPr>
                <w:rFonts w:hint="eastAsia"/>
                <w:color w:val="000000" w:themeColor="text1"/>
                <w:kern w:val="0"/>
                <w:sz w:val="24"/>
                <w14:textFill>
                  <w14:solidFill>
                    <w14:schemeClr w14:val="tx1"/>
                  </w14:solidFill>
                </w14:textFill>
              </w:rPr>
              <w:t>/h，二级活性炭吸附装置处理效率为90%，则排放速率为0.00105kg/h，排放浓度为0.105mg/m</w:t>
            </w:r>
            <w:r>
              <w:rPr>
                <w:rFonts w:hint="eastAsia"/>
                <w:color w:val="000000" w:themeColor="text1"/>
                <w:kern w:val="0"/>
                <w:sz w:val="24"/>
                <w:vertAlign w:val="superscript"/>
                <w14:textFill>
                  <w14:solidFill>
                    <w14:schemeClr w14:val="tx1"/>
                  </w14:solidFill>
                </w14:textFill>
              </w:rPr>
              <w:t>3</w:t>
            </w:r>
            <w:r>
              <w:rPr>
                <w:rFonts w:hint="eastAsia"/>
                <w:color w:val="000000" w:themeColor="text1"/>
                <w:kern w:val="0"/>
                <w:sz w:val="24"/>
                <w:vertAlign w:val="baseline"/>
                <w:lang w:eastAsia="zh-CN"/>
                <w14:textFill>
                  <w14:solidFill>
                    <w14:schemeClr w14:val="tx1"/>
                  </w14:solidFill>
                </w14:textFill>
              </w:rPr>
              <w:t>。</w:t>
            </w:r>
          </w:p>
          <w:p>
            <w:pPr>
              <w:spacing w:line="360" w:lineRule="auto"/>
              <w:ind w:firstLine="480" w:firstLineChars="200"/>
              <w:rPr>
                <w:color w:val="FF0000"/>
                <w:sz w:val="24"/>
              </w:rPr>
            </w:pPr>
            <w:r>
              <w:rPr>
                <w:rFonts w:hint="eastAsia"/>
                <w:color w:val="FF0000"/>
                <w:sz w:val="24"/>
              </w:rPr>
              <w:t>⑦</w:t>
            </w:r>
            <w:r>
              <w:rPr>
                <w:rFonts w:hint="eastAsia"/>
                <w:color w:val="FF0000"/>
                <w:sz w:val="24"/>
                <w:lang w:val="en-US" w:eastAsia="zh-CN"/>
              </w:rPr>
              <w:t>印字有机</w:t>
            </w:r>
            <w:r>
              <w:rPr>
                <w:color w:val="FF0000"/>
                <w:sz w:val="24"/>
              </w:rPr>
              <w:t>废气</w:t>
            </w:r>
          </w:p>
          <w:p>
            <w:pPr>
              <w:spacing w:line="360" w:lineRule="auto"/>
              <w:ind w:firstLine="480" w:firstLineChars="200"/>
              <w:rPr>
                <w:rFonts w:hint="default" w:ascii="Times New Roman" w:hAnsi="Times New Roman" w:eastAsia="宋体" w:cs="Times New Roman"/>
                <w:color w:val="FF0000"/>
                <w:sz w:val="24"/>
                <w:lang w:val="en-US" w:eastAsia="zh-CN"/>
              </w:rPr>
            </w:pPr>
            <w:r>
              <w:rPr>
                <w:rFonts w:hint="default" w:ascii="Times New Roman" w:hAnsi="Times New Roman" w:eastAsia="宋体" w:cs="Times New Roman"/>
                <w:bCs w:val="0"/>
                <w:color w:val="FF0000"/>
                <w:spacing w:val="0"/>
                <w:sz w:val="24"/>
                <w:szCs w:val="24"/>
              </w:rPr>
              <w:t>根据</w:t>
            </w:r>
            <w:r>
              <w:rPr>
                <w:rFonts w:hint="eastAsia" w:cs="Times New Roman"/>
                <w:bCs w:val="0"/>
                <w:color w:val="FF0000"/>
                <w:spacing w:val="0"/>
                <w:sz w:val="24"/>
                <w:szCs w:val="24"/>
                <w:lang w:val="en-US" w:eastAsia="zh-CN"/>
              </w:rPr>
              <w:t>网印</w:t>
            </w:r>
            <w:r>
              <w:rPr>
                <w:rFonts w:hint="default" w:ascii="Times New Roman" w:hAnsi="Times New Roman" w:eastAsia="宋体" w:cs="Times New Roman"/>
                <w:bCs w:val="0"/>
                <w:color w:val="FF0000"/>
                <w:spacing w:val="0"/>
                <w:sz w:val="24"/>
                <w:szCs w:val="24"/>
              </w:rPr>
              <w:t>油墨的安全技术说明书可知，文字油墨中高沸点溶剂（</w:t>
            </w:r>
            <w:r>
              <w:rPr>
                <w:rFonts w:ascii="Times New Roman" w:hAnsi="Times New Roman" w:eastAsia="宋体" w:cs="Times New Roman"/>
                <w:bCs w:val="0"/>
                <w:color w:val="FF0000"/>
                <w:spacing w:val="0"/>
                <w:sz w:val="24"/>
                <w:szCs w:val="24"/>
              </w:rPr>
              <w:t>DBE</w:t>
            </w:r>
            <w:r>
              <w:rPr>
                <w:rFonts w:hint="default" w:ascii="Times New Roman" w:hAnsi="Times New Roman" w:eastAsia="宋体" w:cs="Times New Roman"/>
                <w:bCs w:val="0"/>
                <w:color w:val="FF0000"/>
                <w:spacing w:val="0"/>
                <w:sz w:val="24"/>
                <w:szCs w:val="24"/>
              </w:rPr>
              <w:t>）含量约为2.9</w:t>
            </w:r>
            <w:r>
              <w:rPr>
                <w:rFonts w:ascii="Times New Roman" w:hAnsi="Times New Roman" w:eastAsia="宋体" w:cs="Times New Roman"/>
                <w:bCs w:val="0"/>
                <w:color w:val="FF0000"/>
                <w:spacing w:val="0"/>
                <w:sz w:val="24"/>
                <w:szCs w:val="24"/>
              </w:rPr>
              <w:t>%</w:t>
            </w:r>
            <w:r>
              <w:rPr>
                <w:rFonts w:hint="default" w:ascii="Times New Roman" w:hAnsi="Times New Roman" w:eastAsia="宋体" w:cs="Times New Roman"/>
                <w:bCs w:val="0"/>
                <w:color w:val="FF0000"/>
                <w:spacing w:val="0"/>
                <w:sz w:val="24"/>
                <w:szCs w:val="24"/>
              </w:rPr>
              <w:t>，项目文字油墨使用量为0.</w:t>
            </w:r>
            <w:r>
              <w:rPr>
                <w:rFonts w:hint="default" w:ascii="Times New Roman" w:hAnsi="Times New Roman" w:eastAsia="宋体" w:cs="Times New Roman"/>
                <w:bCs w:val="0"/>
                <w:color w:val="FF0000"/>
                <w:spacing w:val="0"/>
                <w:sz w:val="24"/>
                <w:szCs w:val="24"/>
                <w:lang w:val="en-US" w:eastAsia="zh-CN"/>
              </w:rPr>
              <w:t>0</w:t>
            </w:r>
            <w:r>
              <w:rPr>
                <w:rFonts w:hint="default" w:ascii="Times New Roman" w:hAnsi="Times New Roman" w:eastAsia="宋体" w:cs="Times New Roman"/>
                <w:bCs w:val="0"/>
                <w:color w:val="FF0000"/>
                <w:spacing w:val="0"/>
                <w:sz w:val="24"/>
                <w:szCs w:val="24"/>
              </w:rPr>
              <w:t>8</w:t>
            </w:r>
            <w:r>
              <w:rPr>
                <w:rFonts w:ascii="Times New Roman" w:hAnsi="Times New Roman" w:eastAsia="宋体" w:cs="Times New Roman"/>
                <w:bCs w:val="0"/>
                <w:color w:val="FF0000"/>
                <w:spacing w:val="0"/>
                <w:sz w:val="24"/>
                <w:szCs w:val="24"/>
              </w:rPr>
              <w:t>t/a</w:t>
            </w:r>
            <w:r>
              <w:rPr>
                <w:rFonts w:hint="default" w:ascii="Times New Roman" w:hAnsi="Times New Roman" w:eastAsia="宋体" w:cs="Times New Roman"/>
                <w:bCs w:val="0"/>
                <w:color w:val="FF0000"/>
                <w:spacing w:val="0"/>
                <w:sz w:val="24"/>
                <w:szCs w:val="24"/>
              </w:rPr>
              <w:t>，</w:t>
            </w:r>
            <w:r>
              <w:rPr>
                <w:rFonts w:hint="default" w:ascii="Times New Roman" w:hAnsi="Times New Roman" w:eastAsia="宋体" w:cs="Times New Roman"/>
                <w:bCs w:val="0"/>
                <w:color w:val="FF0000"/>
                <w:spacing w:val="0"/>
                <w:sz w:val="24"/>
                <w:szCs w:val="24"/>
                <w:lang w:val="en-US" w:eastAsia="zh-CN"/>
              </w:rPr>
              <w:t>在车间内无组织排放</w:t>
            </w:r>
            <w:r>
              <w:rPr>
                <w:rFonts w:hint="eastAsia" w:ascii="Times New Roman" w:hAnsi="Times New Roman" w:eastAsia="宋体" w:cs="Times New Roman"/>
                <w:bCs w:val="0"/>
                <w:color w:val="FF0000"/>
                <w:spacing w:val="0"/>
                <w:sz w:val="24"/>
                <w:szCs w:val="24"/>
                <w:lang w:val="en-US" w:eastAsia="zh-CN"/>
              </w:rPr>
              <w:t>，</w:t>
            </w:r>
            <w:r>
              <w:rPr>
                <w:rFonts w:hint="default" w:ascii="Times New Roman" w:hAnsi="Times New Roman" w:eastAsia="宋体" w:cs="Times New Roman"/>
                <w:bCs w:val="0"/>
                <w:color w:val="FF0000"/>
                <w:spacing w:val="0"/>
                <w:sz w:val="24"/>
                <w:szCs w:val="24"/>
                <w:lang w:val="en-US" w:eastAsia="zh-CN"/>
              </w:rPr>
              <w:t>则</w:t>
            </w:r>
            <w:r>
              <w:rPr>
                <w:rFonts w:hint="eastAsia" w:ascii="Times New Roman" w:hAnsi="Times New Roman" w:eastAsia="宋体" w:cs="Times New Roman"/>
                <w:bCs w:val="0"/>
                <w:color w:val="FF0000"/>
                <w:spacing w:val="0"/>
                <w:sz w:val="24"/>
                <w:szCs w:val="24"/>
                <w:lang w:val="en-US" w:eastAsia="zh-CN"/>
              </w:rPr>
              <w:t>无组织</w:t>
            </w:r>
            <w:r>
              <w:rPr>
                <w:rFonts w:hint="default" w:ascii="Times New Roman" w:hAnsi="Times New Roman" w:eastAsia="宋体" w:cs="Times New Roman"/>
                <w:bCs w:val="0"/>
                <w:color w:val="FF0000"/>
                <w:spacing w:val="0"/>
                <w:sz w:val="24"/>
                <w:szCs w:val="24"/>
                <w:lang w:val="en-US" w:eastAsia="zh-CN"/>
              </w:rPr>
              <w:t>非甲烷总烃</w:t>
            </w:r>
            <w:r>
              <w:rPr>
                <w:rFonts w:hint="eastAsia" w:ascii="Times New Roman" w:hAnsi="Times New Roman" w:eastAsia="宋体" w:cs="Times New Roman"/>
                <w:bCs w:val="0"/>
                <w:color w:val="FF0000"/>
                <w:spacing w:val="0"/>
                <w:sz w:val="24"/>
                <w:szCs w:val="24"/>
                <w:lang w:val="en-US" w:eastAsia="zh-CN"/>
              </w:rPr>
              <w:t>排放</w:t>
            </w:r>
            <w:r>
              <w:rPr>
                <w:rFonts w:hint="default" w:ascii="Times New Roman" w:hAnsi="Times New Roman" w:eastAsia="宋体" w:cs="Times New Roman"/>
                <w:bCs w:val="0"/>
                <w:color w:val="FF0000"/>
                <w:spacing w:val="0"/>
                <w:sz w:val="24"/>
                <w:szCs w:val="24"/>
                <w:lang w:val="en-US" w:eastAsia="zh-CN"/>
              </w:rPr>
              <w:t>量为0.00232t/a，</w:t>
            </w:r>
            <w:r>
              <w:rPr>
                <w:rFonts w:hint="eastAsia" w:ascii="Times New Roman" w:hAnsi="Times New Roman" w:eastAsia="宋体" w:cs="Times New Roman"/>
                <w:bCs w:val="0"/>
                <w:color w:val="FF0000"/>
                <w:spacing w:val="0"/>
                <w:sz w:val="24"/>
                <w:szCs w:val="24"/>
                <w:lang w:val="en-US" w:eastAsia="zh-CN"/>
              </w:rPr>
              <w:t>年工作时间800h，则排放速率为</w:t>
            </w:r>
            <w:r>
              <w:rPr>
                <w:rFonts w:hint="eastAsia"/>
                <w:color w:val="FF0000"/>
                <w:kern w:val="0"/>
                <w:sz w:val="24"/>
              </w:rPr>
              <w:t>0.00</w:t>
            </w:r>
            <w:r>
              <w:rPr>
                <w:rFonts w:hint="eastAsia"/>
                <w:color w:val="FF0000"/>
                <w:kern w:val="0"/>
                <w:sz w:val="24"/>
                <w:lang w:val="en-US" w:eastAsia="zh-CN"/>
              </w:rPr>
              <w:t>29</w:t>
            </w:r>
            <w:r>
              <w:rPr>
                <w:rFonts w:hint="eastAsia"/>
                <w:color w:val="FF0000"/>
                <w:kern w:val="0"/>
                <w:sz w:val="24"/>
              </w:rPr>
              <w:t>kg/h</w:t>
            </w:r>
            <w:r>
              <w:rPr>
                <w:rFonts w:hint="eastAsia"/>
                <w:color w:val="FF0000"/>
                <w:kern w:val="0"/>
                <w:sz w:val="24"/>
                <w:lang w:eastAsia="zh-CN"/>
              </w:rPr>
              <w:t>。</w:t>
            </w:r>
          </w:p>
          <w:p>
            <w:pPr>
              <w:spacing w:line="360" w:lineRule="auto"/>
              <w:ind w:firstLine="480" w:firstLineChars="200"/>
              <w:rPr>
                <w:sz w:val="24"/>
              </w:rPr>
            </w:pPr>
            <w:r>
              <w:rPr>
                <w:rFonts w:hint="eastAsia"/>
                <w:sz w:val="24"/>
                <w:lang w:val="en-US" w:eastAsia="zh-CN"/>
              </w:rPr>
              <w:t>⑧</w:t>
            </w:r>
            <w:r>
              <w:rPr>
                <w:sz w:val="24"/>
              </w:rPr>
              <w:t>危废库废气</w:t>
            </w:r>
          </w:p>
          <w:p>
            <w:pPr>
              <w:adjustRightInd w:val="0"/>
              <w:snapToGrid w:val="0"/>
              <w:spacing w:line="360" w:lineRule="auto"/>
              <w:ind w:firstLine="480" w:firstLineChars="200"/>
              <w:rPr>
                <w:sz w:val="24"/>
              </w:rPr>
            </w:pPr>
            <w:r>
              <w:rPr>
                <w:sz w:val="24"/>
              </w:rPr>
              <w:t>本项目危废暂存间暂存的危险废物种类为废机油，密闭桶装</w:t>
            </w:r>
            <w:r>
              <w:rPr>
                <w:rFonts w:hint="eastAsia"/>
                <w:sz w:val="24"/>
              </w:rPr>
              <w:t>；废活性炭，密闭袋装</w:t>
            </w:r>
            <w:r>
              <w:rPr>
                <w:sz w:val="24"/>
              </w:rPr>
              <w:t>，基本无异味产生。</w:t>
            </w:r>
            <w:r>
              <w:rPr>
                <w:rFonts w:hint="eastAsia"/>
                <w:color w:val="FF0000"/>
                <w:kern w:val="0"/>
                <w:sz w:val="24"/>
              </w:rPr>
              <w:t>项目</w:t>
            </w:r>
            <w:r>
              <w:rPr>
                <w:rFonts w:hint="eastAsia"/>
                <w:color w:val="FF0000"/>
                <w:kern w:val="0"/>
                <w:sz w:val="24"/>
                <w:lang w:val="en-US" w:eastAsia="zh-CN"/>
              </w:rPr>
              <w:t>危废仓库</w:t>
            </w:r>
            <w:r>
              <w:rPr>
                <w:rFonts w:hint="eastAsia"/>
                <w:color w:val="FF0000"/>
                <w:kern w:val="0"/>
                <w:sz w:val="24"/>
              </w:rPr>
              <w:t>面积为</w:t>
            </w:r>
            <w:r>
              <w:rPr>
                <w:rFonts w:hint="eastAsia"/>
                <w:color w:val="FF0000"/>
                <w:kern w:val="0"/>
                <w:sz w:val="24"/>
                <w:lang w:val="en-US" w:eastAsia="zh-CN"/>
              </w:rPr>
              <w:t>20</w:t>
            </w:r>
            <w:r>
              <w:rPr>
                <w:rFonts w:hint="eastAsia"/>
                <w:color w:val="FF0000"/>
                <w:kern w:val="0"/>
                <w:sz w:val="24"/>
              </w:rPr>
              <w:t>m</w:t>
            </w:r>
            <w:r>
              <w:rPr>
                <w:rFonts w:hint="eastAsia"/>
                <w:color w:val="FF0000"/>
                <w:kern w:val="0"/>
                <w:sz w:val="24"/>
                <w:vertAlign w:val="superscript"/>
              </w:rPr>
              <w:t>2</w:t>
            </w:r>
            <w:r>
              <w:rPr>
                <w:rFonts w:hint="eastAsia"/>
                <w:color w:val="FF0000"/>
                <w:kern w:val="0"/>
                <w:sz w:val="24"/>
              </w:rPr>
              <w:t>，高度为</w:t>
            </w:r>
            <w:r>
              <w:rPr>
                <w:rFonts w:hint="eastAsia"/>
                <w:color w:val="FF0000"/>
                <w:kern w:val="0"/>
                <w:sz w:val="24"/>
                <w:lang w:val="en-US" w:eastAsia="zh-CN"/>
              </w:rPr>
              <w:t>4</w:t>
            </w:r>
            <w:r>
              <w:rPr>
                <w:rFonts w:hint="eastAsia"/>
                <w:color w:val="FF0000"/>
                <w:kern w:val="0"/>
                <w:sz w:val="24"/>
              </w:rPr>
              <w:t>m，参考《工作场所防止职业中毒卫生工程防护措施规范》（GBZ/T 194-2007），换气次数按照12次/h 计，经计算房间收集风量为</w:t>
            </w:r>
            <w:r>
              <w:rPr>
                <w:rFonts w:hint="eastAsia"/>
                <w:color w:val="FF0000"/>
                <w:kern w:val="0"/>
                <w:sz w:val="24"/>
                <w:lang w:val="en-US" w:eastAsia="zh-CN"/>
              </w:rPr>
              <w:t>960</w:t>
            </w:r>
            <w:r>
              <w:rPr>
                <w:rFonts w:hint="eastAsia"/>
                <w:color w:val="FF0000"/>
                <w:kern w:val="0"/>
                <w:sz w:val="24"/>
              </w:rPr>
              <w:t>m</w:t>
            </w:r>
            <w:r>
              <w:rPr>
                <w:rFonts w:hint="eastAsia"/>
                <w:color w:val="FF0000"/>
                <w:kern w:val="0"/>
                <w:sz w:val="24"/>
                <w:vertAlign w:val="superscript"/>
              </w:rPr>
              <w:t xml:space="preserve">3 </w:t>
            </w:r>
            <w:r>
              <w:rPr>
                <w:rFonts w:hint="eastAsia"/>
                <w:color w:val="FF0000"/>
                <w:kern w:val="0"/>
                <w:sz w:val="24"/>
              </w:rPr>
              <w:t>/h。考虑风压损失、管道距离等因素，项目</w:t>
            </w:r>
            <w:r>
              <w:rPr>
                <w:rFonts w:hint="eastAsia"/>
                <w:color w:val="FF0000"/>
                <w:kern w:val="0"/>
                <w:sz w:val="24"/>
                <w:lang w:val="en-US" w:eastAsia="zh-CN"/>
              </w:rPr>
              <w:t>危废仓库</w:t>
            </w:r>
            <w:r>
              <w:rPr>
                <w:rFonts w:hint="eastAsia"/>
                <w:color w:val="FF0000"/>
                <w:kern w:val="0"/>
                <w:sz w:val="24"/>
              </w:rPr>
              <w:t>废气收集设计风量取计算风量的</w:t>
            </w:r>
            <w:r>
              <w:rPr>
                <w:rFonts w:hint="eastAsia"/>
                <w:color w:val="FF0000"/>
                <w:kern w:val="0"/>
                <w:sz w:val="24"/>
                <w:lang w:val="en-US" w:eastAsia="zh-CN"/>
              </w:rPr>
              <w:t>1.2</w:t>
            </w:r>
            <w:r>
              <w:rPr>
                <w:rFonts w:hint="eastAsia"/>
                <w:color w:val="FF0000"/>
                <w:kern w:val="0"/>
                <w:sz w:val="24"/>
              </w:rPr>
              <w:t>倍，即设计风量为</w:t>
            </w:r>
            <w:r>
              <w:rPr>
                <w:rFonts w:hint="eastAsia"/>
                <w:color w:val="FF0000"/>
                <w:kern w:val="0"/>
                <w:sz w:val="24"/>
                <w:lang w:val="en-US" w:eastAsia="zh-CN"/>
              </w:rPr>
              <w:t>12</w:t>
            </w:r>
            <w:r>
              <w:rPr>
                <w:rFonts w:hint="eastAsia"/>
                <w:color w:val="FF0000"/>
                <w:kern w:val="0"/>
                <w:sz w:val="24"/>
              </w:rPr>
              <w:t>00m</w:t>
            </w:r>
            <w:r>
              <w:rPr>
                <w:rFonts w:hint="eastAsia"/>
                <w:color w:val="FF0000"/>
                <w:kern w:val="0"/>
                <w:sz w:val="24"/>
                <w:vertAlign w:val="superscript"/>
              </w:rPr>
              <w:t>3</w:t>
            </w:r>
            <w:r>
              <w:rPr>
                <w:rFonts w:hint="eastAsia"/>
                <w:color w:val="FF0000"/>
                <w:kern w:val="0"/>
                <w:sz w:val="24"/>
              </w:rPr>
              <w:t xml:space="preserve"> /h。</w:t>
            </w:r>
            <w:r>
              <w:rPr>
                <w:sz w:val="24"/>
              </w:rPr>
              <w:t>由于产生量较小，本次评价不做定量分析，</w:t>
            </w:r>
            <w:r>
              <w:rPr>
                <w:rFonts w:hint="eastAsia"/>
                <w:kern w:val="0"/>
                <w:sz w:val="24"/>
              </w:rPr>
              <w:t>但要求建设单位根据《关于进一步加强危险废物污染防治工作的实施意见》（苏环办〔2019〕327号）要求，在危废暂存间设置气体导出口和收集管道，对危废暂存间废气负压收集后和</w:t>
            </w:r>
            <w:r>
              <w:rPr>
                <w:rFonts w:hint="eastAsia"/>
                <w:sz w:val="24"/>
              </w:rPr>
              <w:t>挤出、压延、吸塑</w:t>
            </w:r>
            <w:r>
              <w:rPr>
                <w:rFonts w:hint="eastAsia"/>
                <w:kern w:val="0"/>
                <w:sz w:val="24"/>
              </w:rPr>
              <w:t>废气一起经“二级活性炭吸附”装置处理后经1根15m高DA006排气筒排放。</w:t>
            </w:r>
          </w:p>
          <w:p>
            <w:pPr>
              <w:pStyle w:val="25"/>
              <w:keepNext w:val="0"/>
              <w:keepLines w:val="0"/>
              <w:pageBreakBefore w:val="0"/>
              <w:widowControl w:val="0"/>
              <w:numPr>
                <w:ilvl w:val="0"/>
                <w:numId w:val="9"/>
              </w:numPr>
              <w:kinsoku/>
              <w:wordWrap/>
              <w:overflowPunct/>
              <w:topLinePunct w:val="0"/>
              <w:autoSpaceDE/>
              <w:autoSpaceDN/>
              <w:bidi w:val="0"/>
              <w:adjustRightInd w:val="0"/>
              <w:snapToGrid w:val="0"/>
              <w:spacing w:line="500" w:lineRule="exact"/>
              <w:ind w:firstLine="482" w:firstLineChars="200"/>
              <w:textAlignment w:val="auto"/>
              <w:rPr>
                <w:b/>
                <w:bCs/>
                <w:sz w:val="24"/>
                <w:szCs w:val="24"/>
              </w:rPr>
            </w:pPr>
            <w:r>
              <w:rPr>
                <w:b/>
                <w:bCs/>
                <w:sz w:val="24"/>
                <w:szCs w:val="24"/>
              </w:rPr>
              <w:t>废气产排基本信息</w:t>
            </w:r>
          </w:p>
          <w:p>
            <w:pPr>
              <w:pStyle w:val="25"/>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本项目废气产排情况及废气排放口情况见下表。</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w:t>
            </w:r>
            <w:r>
              <w:rPr>
                <w:rFonts w:hint="eastAsia"/>
                <w:b/>
                <w:bCs/>
                <w:color w:val="000000" w:themeColor="text1"/>
                <w:szCs w:val="21"/>
                <w14:textFill>
                  <w14:solidFill>
                    <w14:schemeClr w14:val="tx1"/>
                  </w14:solidFill>
                </w14:textFill>
              </w:rPr>
              <w:t>1</w:t>
            </w:r>
            <w:r>
              <w:rPr>
                <w:b/>
                <w:bCs/>
                <w:color w:val="000000" w:themeColor="text1"/>
                <w:szCs w:val="21"/>
                <w14:textFill>
                  <w14:solidFill>
                    <w14:schemeClr w14:val="tx1"/>
                  </w14:solidFill>
                </w14:textFill>
              </w:rPr>
              <w:t>项目废气</w:t>
            </w:r>
            <w:r>
              <w:rPr>
                <w:rFonts w:hint="eastAsia"/>
                <w:b/>
                <w:bCs/>
                <w:color w:val="000000" w:themeColor="text1"/>
                <w:szCs w:val="21"/>
                <w14:textFill>
                  <w14:solidFill>
                    <w14:schemeClr w14:val="tx1"/>
                  </w14:solidFill>
                </w14:textFill>
              </w:rPr>
              <w:t>排放源</w:t>
            </w:r>
            <w:r>
              <w:rPr>
                <w:b/>
                <w:bCs/>
                <w:color w:val="000000" w:themeColor="text1"/>
                <w:szCs w:val="21"/>
                <w14:textFill>
                  <w14:solidFill>
                    <w14:schemeClr w14:val="tx1"/>
                  </w14:solidFill>
                </w14:textFill>
              </w:rPr>
              <w:t>产生及排放情况汇总表</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84"/>
              <w:gridCol w:w="384"/>
              <w:gridCol w:w="384"/>
              <w:gridCol w:w="712"/>
              <w:gridCol w:w="708"/>
              <w:gridCol w:w="708"/>
              <w:gridCol w:w="632"/>
              <w:gridCol w:w="662"/>
              <w:gridCol w:w="384"/>
              <w:gridCol w:w="384"/>
              <w:gridCol w:w="385"/>
              <w:gridCol w:w="712"/>
              <w:gridCol w:w="709"/>
              <w:gridCol w:w="709"/>
              <w:gridCol w:w="7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Merge w:val="restart"/>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污染源名称</w:t>
                  </w:r>
                </w:p>
              </w:tc>
              <w:tc>
                <w:tcPr>
                  <w:tcW w:w="421" w:type="dxa"/>
                  <w:vMerge w:val="restart"/>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污染物名称</w:t>
                  </w:r>
                </w:p>
              </w:tc>
              <w:tc>
                <w:tcPr>
                  <w:tcW w:w="421" w:type="dxa"/>
                  <w:vMerge w:val="restart"/>
                  <w:vAlign w:val="center"/>
                </w:tcPr>
                <w:p>
                  <w:pPr>
                    <w:widowControl/>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排放形式</w:t>
                  </w:r>
                </w:p>
              </w:tc>
              <w:tc>
                <w:tcPr>
                  <w:tcW w:w="2335" w:type="dxa"/>
                  <w:gridSpan w:val="3"/>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产生状况</w:t>
                  </w:r>
                </w:p>
              </w:tc>
              <w:tc>
                <w:tcPr>
                  <w:tcW w:w="694" w:type="dxa"/>
                  <w:vMerge w:val="restart"/>
                  <w:vAlign w:val="center"/>
                </w:tcPr>
                <w:p>
                  <w:pPr>
                    <w:widowControl/>
                    <w:jc w:val="center"/>
                    <w:rPr>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污染防治设施工艺</w:t>
                  </w:r>
                </w:p>
              </w:tc>
              <w:tc>
                <w:tcPr>
                  <w:tcW w:w="726" w:type="dxa"/>
                  <w:vMerge w:val="restart"/>
                  <w:vAlign w:val="center"/>
                </w:tcPr>
                <w:p>
                  <w:pPr>
                    <w:widowControl/>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风机风量m</w:t>
                  </w:r>
                  <w:r>
                    <w:rPr>
                      <w:rFonts w:hint="eastAsia"/>
                      <w:b/>
                      <w:bCs/>
                      <w:color w:val="000000" w:themeColor="text1"/>
                      <w:kern w:val="0"/>
                      <w:szCs w:val="21"/>
                      <w:vertAlign w:val="superscript"/>
                      <w14:textFill>
                        <w14:solidFill>
                          <w14:schemeClr w14:val="tx1"/>
                        </w14:solidFill>
                      </w14:textFill>
                    </w:rPr>
                    <w:t>3</w:t>
                  </w:r>
                </w:p>
                <w:p>
                  <w:pPr>
                    <w:widowControl/>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/h</w:t>
                  </w:r>
                </w:p>
              </w:tc>
              <w:tc>
                <w:tcPr>
                  <w:tcW w:w="421" w:type="dxa"/>
                  <w:vMerge w:val="restart"/>
                  <w:vAlign w:val="center"/>
                </w:tcPr>
                <w:p>
                  <w:pPr>
                    <w:widowControl/>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捕集效率</w:t>
                  </w:r>
                </w:p>
              </w:tc>
              <w:tc>
                <w:tcPr>
                  <w:tcW w:w="421" w:type="dxa"/>
                  <w:vMerge w:val="restart"/>
                  <w:vAlign w:val="center"/>
                </w:tcPr>
                <w:p>
                  <w:pPr>
                    <w:widowControl/>
                    <w:jc w:val="center"/>
                    <w:rPr>
                      <w:b/>
                      <w:bCs/>
                      <w:color w:val="000000" w:themeColor="text1"/>
                      <w:szCs w:val="21"/>
                      <w14:textFill>
                        <w14:solidFill>
                          <w14:schemeClr w14:val="tx1"/>
                        </w14:solidFill>
                      </w14:textFill>
                    </w:rPr>
                  </w:pPr>
                  <w:r>
                    <w:rPr>
                      <w:rFonts w:hint="eastAsia"/>
                      <w:b/>
                      <w:bCs/>
                      <w:color w:val="000000" w:themeColor="text1"/>
                      <w:kern w:val="0"/>
                      <w:szCs w:val="21"/>
                      <w14:textFill>
                        <w14:solidFill>
                          <w14:schemeClr w14:val="tx1"/>
                        </w14:solidFill>
                      </w14:textFill>
                    </w:rPr>
                    <w:t>处理</w:t>
                  </w:r>
                  <w:r>
                    <w:rPr>
                      <w:b/>
                      <w:bCs/>
                      <w:color w:val="000000" w:themeColor="text1"/>
                      <w:kern w:val="0"/>
                      <w:szCs w:val="21"/>
                      <w14:textFill>
                        <w14:solidFill>
                          <w14:schemeClr w14:val="tx1"/>
                        </w14:solidFill>
                      </w14:textFill>
                    </w:rPr>
                    <w:t>效率</w:t>
                  </w:r>
                </w:p>
              </w:tc>
              <w:tc>
                <w:tcPr>
                  <w:tcW w:w="421" w:type="dxa"/>
                  <w:vMerge w:val="restart"/>
                  <w:vAlign w:val="center"/>
                </w:tcPr>
                <w:p>
                  <w:pPr>
                    <w:widowControl/>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是否为可行性技术</w:t>
                  </w:r>
                </w:p>
              </w:tc>
              <w:tc>
                <w:tcPr>
                  <w:tcW w:w="2335" w:type="dxa"/>
                  <w:gridSpan w:val="3"/>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排放状况</w:t>
                  </w:r>
                </w:p>
              </w:tc>
              <w:tc>
                <w:tcPr>
                  <w:tcW w:w="781" w:type="dxa"/>
                  <w:vAlign w:val="center"/>
                </w:tcPr>
                <w:p>
                  <w:pPr>
                    <w:widowControl/>
                    <w:jc w:val="center"/>
                    <w:rPr>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Merge w:val="continue"/>
                  <w:vAlign w:val="center"/>
                </w:tcPr>
                <w:p>
                  <w:pPr>
                    <w:widowControl/>
                    <w:jc w:val="center"/>
                    <w:rPr>
                      <w:b/>
                      <w:bCs/>
                      <w:color w:val="000000" w:themeColor="text1"/>
                      <w:szCs w:val="21"/>
                      <w14:textFill>
                        <w14:solidFill>
                          <w14:schemeClr w14:val="tx1"/>
                        </w14:solidFill>
                      </w14:textFill>
                    </w:rPr>
                  </w:pPr>
                </w:p>
              </w:tc>
              <w:tc>
                <w:tcPr>
                  <w:tcW w:w="421" w:type="dxa"/>
                  <w:vMerge w:val="continue"/>
                  <w:vAlign w:val="center"/>
                </w:tcPr>
                <w:p>
                  <w:pPr>
                    <w:widowControl/>
                    <w:jc w:val="center"/>
                    <w:rPr>
                      <w:b/>
                      <w:bCs/>
                      <w:color w:val="000000" w:themeColor="text1"/>
                      <w:szCs w:val="21"/>
                      <w14:textFill>
                        <w14:solidFill>
                          <w14:schemeClr w14:val="tx1"/>
                        </w14:solidFill>
                      </w14:textFill>
                    </w:rPr>
                  </w:pPr>
                </w:p>
              </w:tc>
              <w:tc>
                <w:tcPr>
                  <w:tcW w:w="421" w:type="dxa"/>
                  <w:vMerge w:val="continue"/>
                  <w:vAlign w:val="center"/>
                </w:tcPr>
                <w:p>
                  <w:pPr>
                    <w:widowControl/>
                    <w:jc w:val="center"/>
                    <w:rPr>
                      <w:b/>
                      <w:bCs/>
                      <w:color w:val="000000" w:themeColor="text1"/>
                      <w:szCs w:val="21"/>
                      <w14:textFill>
                        <w14:solidFill>
                          <w14:schemeClr w14:val="tx1"/>
                        </w14:solidFill>
                      </w14:textFill>
                    </w:rPr>
                  </w:pPr>
                </w:p>
              </w:tc>
              <w:tc>
                <w:tcPr>
                  <w:tcW w:w="781" w:type="dxa"/>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浓度mg/m</w:t>
                  </w:r>
                  <w:r>
                    <w:rPr>
                      <w:b/>
                      <w:bCs/>
                      <w:color w:val="000000" w:themeColor="text1"/>
                      <w:szCs w:val="21"/>
                      <w:vertAlign w:val="superscript"/>
                      <w14:textFill>
                        <w14:solidFill>
                          <w14:schemeClr w14:val="tx1"/>
                        </w14:solidFill>
                      </w14:textFill>
                    </w:rPr>
                    <w:t>3</w:t>
                  </w:r>
                </w:p>
              </w:tc>
              <w:tc>
                <w:tcPr>
                  <w:tcW w:w="777" w:type="dxa"/>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速率kg/h</w:t>
                  </w:r>
                </w:p>
              </w:tc>
              <w:tc>
                <w:tcPr>
                  <w:tcW w:w="777" w:type="dxa"/>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年产生量t/a</w:t>
                  </w:r>
                </w:p>
              </w:tc>
              <w:tc>
                <w:tcPr>
                  <w:tcW w:w="694" w:type="dxa"/>
                  <w:vMerge w:val="continue"/>
                  <w:vAlign w:val="center"/>
                </w:tcPr>
                <w:p>
                  <w:pPr>
                    <w:widowControl/>
                    <w:jc w:val="center"/>
                    <w:rPr>
                      <w:b/>
                      <w:bCs/>
                      <w:color w:val="000000" w:themeColor="text1"/>
                      <w:szCs w:val="21"/>
                      <w14:textFill>
                        <w14:solidFill>
                          <w14:schemeClr w14:val="tx1"/>
                        </w14:solidFill>
                      </w14:textFill>
                    </w:rPr>
                  </w:pPr>
                </w:p>
              </w:tc>
              <w:tc>
                <w:tcPr>
                  <w:tcW w:w="726" w:type="dxa"/>
                  <w:vMerge w:val="continue"/>
                  <w:vAlign w:val="center"/>
                </w:tcPr>
                <w:p>
                  <w:pPr>
                    <w:widowControl/>
                    <w:jc w:val="center"/>
                    <w:rPr>
                      <w:b/>
                      <w:bCs/>
                      <w:color w:val="000000" w:themeColor="text1"/>
                      <w:szCs w:val="21"/>
                      <w14:textFill>
                        <w14:solidFill>
                          <w14:schemeClr w14:val="tx1"/>
                        </w14:solidFill>
                      </w14:textFill>
                    </w:rPr>
                  </w:pPr>
                </w:p>
              </w:tc>
              <w:tc>
                <w:tcPr>
                  <w:tcW w:w="421" w:type="dxa"/>
                  <w:vMerge w:val="continue"/>
                  <w:vAlign w:val="center"/>
                </w:tcPr>
                <w:p>
                  <w:pPr>
                    <w:widowControl/>
                    <w:jc w:val="center"/>
                    <w:rPr>
                      <w:b/>
                      <w:bCs/>
                      <w:color w:val="000000" w:themeColor="text1"/>
                      <w:szCs w:val="21"/>
                      <w14:textFill>
                        <w14:solidFill>
                          <w14:schemeClr w14:val="tx1"/>
                        </w14:solidFill>
                      </w14:textFill>
                    </w:rPr>
                  </w:pPr>
                </w:p>
              </w:tc>
              <w:tc>
                <w:tcPr>
                  <w:tcW w:w="421" w:type="dxa"/>
                  <w:vMerge w:val="continue"/>
                  <w:vAlign w:val="center"/>
                </w:tcPr>
                <w:p>
                  <w:pPr>
                    <w:widowControl/>
                    <w:jc w:val="center"/>
                    <w:rPr>
                      <w:b/>
                      <w:bCs/>
                      <w:color w:val="000000" w:themeColor="text1"/>
                      <w:szCs w:val="21"/>
                      <w14:textFill>
                        <w14:solidFill>
                          <w14:schemeClr w14:val="tx1"/>
                        </w14:solidFill>
                      </w14:textFill>
                    </w:rPr>
                  </w:pPr>
                </w:p>
              </w:tc>
              <w:tc>
                <w:tcPr>
                  <w:tcW w:w="421" w:type="dxa"/>
                  <w:vMerge w:val="continue"/>
                  <w:vAlign w:val="center"/>
                </w:tcPr>
                <w:p>
                  <w:pPr>
                    <w:widowControl/>
                    <w:jc w:val="center"/>
                    <w:rPr>
                      <w:b/>
                      <w:bCs/>
                      <w:color w:val="000000" w:themeColor="text1"/>
                      <w:szCs w:val="21"/>
                      <w14:textFill>
                        <w14:solidFill>
                          <w14:schemeClr w14:val="tx1"/>
                        </w14:solidFill>
                      </w14:textFill>
                    </w:rPr>
                  </w:pPr>
                </w:p>
              </w:tc>
              <w:tc>
                <w:tcPr>
                  <w:tcW w:w="781" w:type="dxa"/>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浓度mg/m</w:t>
                  </w:r>
                  <w:r>
                    <w:rPr>
                      <w:b/>
                      <w:bCs/>
                      <w:color w:val="000000" w:themeColor="text1"/>
                      <w:szCs w:val="21"/>
                      <w:vertAlign w:val="superscript"/>
                      <w14:textFill>
                        <w14:solidFill>
                          <w14:schemeClr w14:val="tx1"/>
                        </w14:solidFill>
                      </w14:textFill>
                    </w:rPr>
                    <w:t>3</w:t>
                  </w:r>
                </w:p>
              </w:tc>
              <w:tc>
                <w:tcPr>
                  <w:tcW w:w="777" w:type="dxa"/>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速率kg/h</w:t>
                  </w:r>
                </w:p>
              </w:tc>
              <w:tc>
                <w:tcPr>
                  <w:tcW w:w="777" w:type="dxa"/>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年排放量t/a</w:t>
                  </w:r>
                </w:p>
              </w:tc>
              <w:tc>
                <w:tcPr>
                  <w:tcW w:w="781" w:type="dxa"/>
                  <w:vAlign w:val="center"/>
                </w:tcPr>
                <w:p>
                  <w:pPr>
                    <w:widowControl/>
                    <w:jc w:val="center"/>
                    <w:rPr>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浓度mg/m</w:t>
                  </w:r>
                  <w:r>
                    <w:rPr>
                      <w:b/>
                      <w:bCs/>
                      <w:color w:val="000000" w:themeColor="text1"/>
                      <w:kern w:val="0"/>
                      <w:szCs w:val="21"/>
                      <w:vertAlign w:val="superscript"/>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熔化</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3.94</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0.0394</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0.21</w:t>
                  </w:r>
                </w:p>
              </w:tc>
              <w:tc>
                <w:tcPr>
                  <w:tcW w:w="694"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布袋除尘+15m排气筒</w:t>
                  </w:r>
                </w:p>
              </w:tc>
              <w:tc>
                <w:tcPr>
                  <w:tcW w:w="726"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10000</w:t>
                  </w:r>
                </w:p>
              </w:tc>
              <w:tc>
                <w:tcPr>
                  <w:tcW w:w="421"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90</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95</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0.394</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0.00394</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0.00945</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熔化</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0.00394</w:t>
                  </w:r>
                </w:p>
              </w:tc>
              <w:tc>
                <w:tcPr>
                  <w:tcW w:w="777" w:type="dxa"/>
                  <w:vAlign w:val="center"/>
                </w:tcPr>
                <w:p>
                  <w:pPr>
                    <w:widowControl/>
                    <w:tabs>
                      <w:tab w:val="left" w:pos="208"/>
                    </w:tabs>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0.021</w:t>
                  </w:r>
                </w:p>
              </w:tc>
              <w:tc>
                <w:tcPr>
                  <w:tcW w:w="694"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加强管理、加强车间通风</w:t>
                  </w:r>
                </w:p>
              </w:tc>
              <w:tc>
                <w:tcPr>
                  <w:tcW w:w="726"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421"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0.00394</w:t>
                  </w:r>
                </w:p>
              </w:tc>
              <w:tc>
                <w:tcPr>
                  <w:tcW w:w="777" w:type="dxa"/>
                  <w:vAlign w:val="center"/>
                </w:tcPr>
                <w:p>
                  <w:pPr>
                    <w:widowControl/>
                    <w:tabs>
                      <w:tab w:val="left" w:pos="208"/>
                    </w:tabs>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0.021</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压铸</w:t>
                  </w:r>
                </w:p>
              </w:tc>
              <w:tc>
                <w:tcPr>
                  <w:tcW w:w="421" w:type="dxa"/>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非甲烷总烃</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10.4</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0.104</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0.25</w:t>
                  </w:r>
                </w:p>
              </w:tc>
              <w:tc>
                <w:tcPr>
                  <w:tcW w:w="694"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二级活性炭吸附+15m排气筒</w:t>
                  </w:r>
                </w:p>
              </w:tc>
              <w:tc>
                <w:tcPr>
                  <w:tcW w:w="726"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10000</w:t>
                  </w:r>
                </w:p>
              </w:tc>
              <w:tc>
                <w:tcPr>
                  <w:tcW w:w="421"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90</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0.936</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0.01</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0.0225</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压铸</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0.0005</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0.025</w:t>
                  </w:r>
                </w:p>
              </w:tc>
              <w:tc>
                <w:tcPr>
                  <w:tcW w:w="694"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加强管理、加强车间通风</w:t>
                  </w:r>
                </w:p>
              </w:tc>
              <w:tc>
                <w:tcPr>
                  <w:tcW w:w="726"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421"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0.0005</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0.025</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抛丸</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109.5</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1.095</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0.876</w:t>
                  </w:r>
                </w:p>
              </w:tc>
              <w:tc>
                <w:tcPr>
                  <w:tcW w:w="694"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布袋除尘+15m排气筒</w:t>
                  </w:r>
                </w:p>
              </w:tc>
              <w:tc>
                <w:tcPr>
                  <w:tcW w:w="726"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10000</w:t>
                  </w:r>
                </w:p>
              </w:tc>
              <w:tc>
                <w:tcPr>
                  <w:tcW w:w="421"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100</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10.95</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0.1095</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0.0876</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抛丸</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694"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加强管理、加强车间通风</w:t>
                  </w:r>
                </w:p>
              </w:tc>
              <w:tc>
                <w:tcPr>
                  <w:tcW w:w="726"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421"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喷塑</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2000</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24</w:t>
                  </w:r>
                </w:p>
              </w:tc>
              <w:tc>
                <w:tcPr>
                  <w:tcW w:w="694" w:type="dxa"/>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玻璃纤维过滤装置</w:t>
                  </w:r>
                  <w:r>
                    <w:rPr>
                      <w:rFonts w:hint="eastAsia"/>
                      <w:color w:val="000000" w:themeColor="text1"/>
                      <w:kern w:val="0"/>
                      <w:szCs w:val="21"/>
                      <w14:textFill>
                        <w14:solidFill>
                          <w14:schemeClr w14:val="tx1"/>
                        </w14:solidFill>
                      </w14:textFill>
                    </w:rPr>
                    <w:t>+15m排气筒</w:t>
                  </w:r>
                </w:p>
              </w:tc>
              <w:tc>
                <w:tcPr>
                  <w:tcW w:w="726"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5000</w:t>
                  </w:r>
                </w:p>
              </w:tc>
              <w:tc>
                <w:tcPr>
                  <w:tcW w:w="421"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100</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99.5</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0.05</w:t>
                  </w:r>
                </w:p>
              </w:tc>
              <w:tc>
                <w:tcPr>
                  <w:tcW w:w="777" w:type="dxa"/>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0.12</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喷塑</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694"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加强管理、加强车间通风</w:t>
                  </w:r>
                </w:p>
              </w:tc>
              <w:tc>
                <w:tcPr>
                  <w:tcW w:w="726"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21"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固化</w:t>
                  </w:r>
                </w:p>
              </w:tc>
              <w:tc>
                <w:tcPr>
                  <w:tcW w:w="421" w:type="dxa"/>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非甲烷总烃</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0.06</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0.144</w:t>
                  </w:r>
                </w:p>
              </w:tc>
              <w:tc>
                <w:tcPr>
                  <w:tcW w:w="694" w:type="dxa"/>
                  <w:vAlign w:val="center"/>
                </w:tcPr>
                <w:p>
                  <w:pPr>
                    <w:widowControl/>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二级活性炭吸附+15m排气筒</w:t>
                  </w:r>
                </w:p>
              </w:tc>
              <w:tc>
                <w:tcPr>
                  <w:tcW w:w="726"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10000</w:t>
                  </w:r>
                </w:p>
              </w:tc>
              <w:tc>
                <w:tcPr>
                  <w:tcW w:w="421"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90</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w:t>
                  </w:r>
                </w:p>
              </w:tc>
              <w:tc>
                <w:tcPr>
                  <w:tcW w:w="781" w:type="dxa"/>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54</w:t>
                  </w:r>
                </w:p>
              </w:tc>
              <w:tc>
                <w:tcPr>
                  <w:tcW w:w="777" w:type="dxa"/>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w:t>
                  </w:r>
                  <w:r>
                    <w:rPr>
                      <w:rFonts w:hint="eastAsia"/>
                      <w:color w:val="000000" w:themeColor="text1"/>
                      <w:szCs w:val="21"/>
                      <w14:textFill>
                        <w14:solidFill>
                          <w14:schemeClr w14:val="tx1"/>
                        </w14:solidFill>
                      </w14:textFill>
                    </w:rPr>
                    <w:t>54</w:t>
                  </w:r>
                </w:p>
              </w:tc>
              <w:tc>
                <w:tcPr>
                  <w:tcW w:w="777" w:type="dxa"/>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w:t>
                  </w:r>
                  <w:r>
                    <w:rPr>
                      <w:rFonts w:hint="eastAsia"/>
                      <w:color w:val="000000" w:themeColor="text1"/>
                      <w:szCs w:val="21"/>
                      <w14:textFill>
                        <w14:solidFill>
                          <w14:schemeClr w14:val="tx1"/>
                        </w14:solidFill>
                      </w14:textFill>
                    </w:rPr>
                    <w:t>1296</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固化</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0.006</w:t>
                  </w:r>
                </w:p>
              </w:tc>
              <w:tc>
                <w:tcPr>
                  <w:tcW w:w="777" w:type="dxa"/>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w:t>
                  </w:r>
                  <w:r>
                    <w:rPr>
                      <w:rFonts w:hint="eastAsia"/>
                      <w:color w:val="000000" w:themeColor="text1"/>
                      <w:szCs w:val="21"/>
                      <w14:textFill>
                        <w14:solidFill>
                          <w14:schemeClr w14:val="tx1"/>
                        </w14:solidFill>
                      </w14:textFill>
                    </w:rPr>
                    <w:t>144</w:t>
                  </w:r>
                </w:p>
              </w:tc>
              <w:tc>
                <w:tcPr>
                  <w:tcW w:w="694"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加强管理、加强车间通风</w:t>
                  </w:r>
                </w:p>
              </w:tc>
              <w:tc>
                <w:tcPr>
                  <w:tcW w:w="726"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421"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0.006</w:t>
                  </w:r>
                </w:p>
              </w:tc>
              <w:tc>
                <w:tcPr>
                  <w:tcW w:w="777" w:type="dxa"/>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w:t>
                  </w:r>
                  <w:r>
                    <w:rPr>
                      <w:rFonts w:hint="eastAsia"/>
                      <w:color w:val="000000" w:themeColor="text1"/>
                      <w:szCs w:val="21"/>
                      <w14:textFill>
                        <w14:solidFill>
                          <w14:schemeClr w14:val="tx1"/>
                        </w14:solidFill>
                      </w14:textFill>
                    </w:rPr>
                    <w:t>144</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挤管、热粘</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1.12</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0.012</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0.028</w:t>
                  </w:r>
                </w:p>
              </w:tc>
              <w:tc>
                <w:tcPr>
                  <w:tcW w:w="694"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二级活性炭吸附+15m排气筒</w:t>
                  </w:r>
                </w:p>
              </w:tc>
              <w:tc>
                <w:tcPr>
                  <w:tcW w:w="726"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10000</w:t>
                  </w:r>
                </w:p>
              </w:tc>
              <w:tc>
                <w:tcPr>
                  <w:tcW w:w="421"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90</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0.105</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0.00105</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0.00252</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挤管、热粘</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0.0012</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0.0028</w:t>
                  </w:r>
                </w:p>
              </w:tc>
              <w:tc>
                <w:tcPr>
                  <w:tcW w:w="694"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加强管理、加强车间通风</w:t>
                  </w:r>
                </w:p>
              </w:tc>
              <w:tc>
                <w:tcPr>
                  <w:tcW w:w="726"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421"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2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0.0012</w:t>
                  </w:r>
                </w:p>
              </w:tc>
              <w:tc>
                <w:tcPr>
                  <w:tcW w:w="777" w:type="dxa"/>
                  <w:vAlign w:val="center"/>
                </w:tcPr>
                <w:p>
                  <w:pPr>
                    <w:widowControl/>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0.0028</w:t>
                  </w:r>
                </w:p>
              </w:tc>
              <w:tc>
                <w:tcPr>
                  <w:tcW w:w="781" w:type="dxa"/>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21" w:type="dxa"/>
                  <w:vAlign w:val="center"/>
                </w:tcPr>
                <w:p>
                  <w:pPr>
                    <w:jc w:val="center"/>
                    <w:rPr>
                      <w:rFonts w:hint="eastAsia"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印字</w:t>
                  </w:r>
                </w:p>
              </w:tc>
              <w:tc>
                <w:tcPr>
                  <w:tcW w:w="421" w:type="dxa"/>
                  <w:vAlign w:val="center"/>
                </w:tcPr>
                <w:p>
                  <w:pPr>
                    <w:widowControl/>
                    <w:jc w:val="center"/>
                    <w:rPr>
                      <w:rFonts w:hint="eastAsia"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非甲烷总烃</w:t>
                  </w:r>
                </w:p>
              </w:tc>
              <w:tc>
                <w:tcPr>
                  <w:tcW w:w="421" w:type="dxa"/>
                  <w:vAlign w:val="center"/>
                </w:tcPr>
                <w:p>
                  <w:pPr>
                    <w:widowControl/>
                    <w:jc w:val="center"/>
                    <w:rPr>
                      <w:rFonts w:hint="eastAsia"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无组织</w:t>
                  </w:r>
                </w:p>
              </w:tc>
              <w:tc>
                <w:tcPr>
                  <w:tcW w:w="781" w:type="dxa"/>
                  <w:vAlign w:val="center"/>
                </w:tcPr>
                <w:p>
                  <w:pPr>
                    <w:widowControl/>
                    <w:jc w:val="center"/>
                    <w:rPr>
                      <w:rFonts w:hint="eastAsia"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w:t>
                  </w:r>
                </w:p>
              </w:tc>
              <w:tc>
                <w:tcPr>
                  <w:tcW w:w="777" w:type="dxa"/>
                  <w:vAlign w:val="center"/>
                </w:tcPr>
                <w:p>
                  <w:pPr>
                    <w:widowControl/>
                    <w:jc w:val="center"/>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0.00</w:t>
                  </w:r>
                  <w:r>
                    <w:rPr>
                      <w:rFonts w:hint="eastAsia" w:ascii="Times New Roman" w:hAnsi="Times New Roman" w:eastAsia="宋体" w:cs="Times New Roman"/>
                      <w:color w:val="FF0000"/>
                      <w:szCs w:val="21"/>
                      <w:lang w:val="en-US" w:eastAsia="zh-CN"/>
                    </w:rPr>
                    <w:t>29</w:t>
                  </w:r>
                </w:p>
              </w:tc>
              <w:tc>
                <w:tcPr>
                  <w:tcW w:w="777" w:type="dxa"/>
                  <w:vAlign w:val="center"/>
                </w:tcPr>
                <w:p>
                  <w:pPr>
                    <w:widowControl/>
                    <w:jc w:val="center"/>
                    <w:rPr>
                      <w:rFonts w:hint="eastAsia" w:ascii="Times New Roman" w:hAnsi="Times New Roman" w:eastAsia="宋体" w:cs="Times New Roman"/>
                      <w:color w:val="FF0000"/>
                      <w:kern w:val="2"/>
                      <w:szCs w:val="21"/>
                    </w:rPr>
                  </w:pPr>
                  <w:r>
                    <w:rPr>
                      <w:rFonts w:hint="eastAsia" w:ascii="Times New Roman" w:hAnsi="Times New Roman" w:eastAsia="宋体" w:cs="Times New Roman"/>
                      <w:bCs w:val="0"/>
                      <w:color w:val="FF0000"/>
                      <w:spacing w:val="0"/>
                      <w:sz w:val="21"/>
                      <w:szCs w:val="21"/>
                      <w:lang w:val="en-US" w:eastAsia="zh-CN"/>
                    </w:rPr>
                    <w:t>0.00232</w:t>
                  </w:r>
                </w:p>
              </w:tc>
              <w:tc>
                <w:tcPr>
                  <w:tcW w:w="694" w:type="dxa"/>
                  <w:vAlign w:val="center"/>
                </w:tcPr>
                <w:p>
                  <w:pPr>
                    <w:widowControl/>
                    <w:jc w:val="center"/>
                    <w:rPr>
                      <w:rFonts w:hint="eastAsia" w:ascii="Times New Roman" w:hAnsi="Times New Roman" w:eastAsia="宋体" w:cs="Times New Roman"/>
                      <w:color w:val="FF0000"/>
                      <w:kern w:val="2"/>
                      <w:szCs w:val="21"/>
                    </w:rPr>
                  </w:pPr>
                  <w:r>
                    <w:rPr>
                      <w:rFonts w:hint="eastAsia" w:ascii="Times New Roman" w:hAnsi="Times New Roman" w:eastAsia="宋体" w:cs="Times New Roman"/>
                      <w:color w:val="FF0000"/>
                      <w:kern w:val="2"/>
                      <w:szCs w:val="21"/>
                    </w:rPr>
                    <w:t>加强管理、加强车间通风</w:t>
                  </w:r>
                </w:p>
              </w:tc>
              <w:tc>
                <w:tcPr>
                  <w:tcW w:w="726" w:type="dxa"/>
                  <w:vAlign w:val="center"/>
                </w:tcPr>
                <w:p>
                  <w:pPr>
                    <w:widowControl/>
                    <w:jc w:val="center"/>
                    <w:rPr>
                      <w:rFonts w:hint="eastAsia" w:ascii="Times New Roman" w:hAnsi="Times New Roman" w:eastAsia="宋体" w:cs="Times New Roman"/>
                      <w:color w:val="FF0000"/>
                      <w:kern w:val="2"/>
                      <w:szCs w:val="21"/>
                    </w:rPr>
                  </w:pPr>
                  <w:r>
                    <w:rPr>
                      <w:rFonts w:hint="eastAsia" w:ascii="Times New Roman" w:hAnsi="Times New Roman" w:eastAsia="宋体" w:cs="Times New Roman"/>
                      <w:color w:val="FF0000"/>
                      <w:kern w:val="2"/>
                      <w:szCs w:val="21"/>
                    </w:rPr>
                    <w:t>/</w:t>
                  </w:r>
                </w:p>
              </w:tc>
              <w:tc>
                <w:tcPr>
                  <w:tcW w:w="421" w:type="dxa"/>
                  <w:vAlign w:val="center"/>
                </w:tcPr>
                <w:p>
                  <w:pPr>
                    <w:widowControl/>
                    <w:jc w:val="center"/>
                    <w:rPr>
                      <w:rFonts w:hint="eastAsia" w:ascii="Times New Roman" w:hAnsi="Times New Roman" w:eastAsia="宋体" w:cs="Times New Roman"/>
                      <w:color w:val="FF0000"/>
                      <w:kern w:val="2"/>
                      <w:szCs w:val="21"/>
                    </w:rPr>
                  </w:pPr>
                  <w:r>
                    <w:rPr>
                      <w:rFonts w:hint="eastAsia" w:ascii="Times New Roman" w:hAnsi="Times New Roman" w:eastAsia="宋体" w:cs="Times New Roman"/>
                      <w:color w:val="FF0000"/>
                      <w:kern w:val="2"/>
                      <w:szCs w:val="21"/>
                    </w:rPr>
                    <w:t>/</w:t>
                  </w:r>
                </w:p>
              </w:tc>
              <w:tc>
                <w:tcPr>
                  <w:tcW w:w="421" w:type="dxa"/>
                  <w:vAlign w:val="center"/>
                </w:tcPr>
                <w:p>
                  <w:pPr>
                    <w:widowControl/>
                    <w:jc w:val="center"/>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w:t>
                  </w:r>
                </w:p>
              </w:tc>
              <w:tc>
                <w:tcPr>
                  <w:tcW w:w="421" w:type="dxa"/>
                  <w:vAlign w:val="center"/>
                </w:tcPr>
                <w:p>
                  <w:pPr>
                    <w:widowControl/>
                    <w:jc w:val="center"/>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w:t>
                  </w:r>
                </w:p>
              </w:tc>
              <w:tc>
                <w:tcPr>
                  <w:tcW w:w="781" w:type="dxa"/>
                  <w:vAlign w:val="center"/>
                </w:tcPr>
                <w:p>
                  <w:pPr>
                    <w:widowControl/>
                    <w:jc w:val="center"/>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w:t>
                  </w:r>
                </w:p>
              </w:tc>
              <w:tc>
                <w:tcPr>
                  <w:tcW w:w="777" w:type="dxa"/>
                  <w:vAlign w:val="center"/>
                </w:tcPr>
                <w:p>
                  <w:pPr>
                    <w:widowControl/>
                    <w:jc w:val="center"/>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0.00</w:t>
                  </w:r>
                  <w:r>
                    <w:rPr>
                      <w:rFonts w:hint="eastAsia" w:ascii="Times New Roman" w:hAnsi="Times New Roman" w:eastAsia="宋体" w:cs="Times New Roman"/>
                      <w:color w:val="FF0000"/>
                      <w:szCs w:val="21"/>
                      <w:lang w:val="en-US" w:eastAsia="zh-CN"/>
                    </w:rPr>
                    <w:t>29</w:t>
                  </w:r>
                </w:p>
              </w:tc>
              <w:tc>
                <w:tcPr>
                  <w:tcW w:w="777" w:type="dxa"/>
                  <w:vAlign w:val="center"/>
                </w:tcPr>
                <w:p>
                  <w:pPr>
                    <w:widowControl/>
                    <w:jc w:val="center"/>
                    <w:rPr>
                      <w:rFonts w:hint="eastAsia" w:ascii="Times New Roman" w:hAnsi="Times New Roman" w:eastAsia="宋体" w:cs="Times New Roman"/>
                      <w:color w:val="FF0000"/>
                      <w:kern w:val="2"/>
                      <w:szCs w:val="21"/>
                    </w:rPr>
                  </w:pPr>
                  <w:r>
                    <w:rPr>
                      <w:rFonts w:hint="eastAsia" w:ascii="Times New Roman" w:hAnsi="Times New Roman" w:eastAsia="宋体" w:cs="Times New Roman"/>
                      <w:bCs w:val="0"/>
                      <w:color w:val="FF0000"/>
                      <w:spacing w:val="0"/>
                      <w:sz w:val="21"/>
                      <w:szCs w:val="21"/>
                      <w:lang w:val="en-US" w:eastAsia="zh-CN"/>
                    </w:rPr>
                    <w:t>0.00232</w:t>
                  </w:r>
                </w:p>
              </w:tc>
              <w:tc>
                <w:tcPr>
                  <w:tcW w:w="781" w:type="dxa"/>
                  <w:vAlign w:val="center"/>
                </w:tcPr>
                <w:p>
                  <w:pPr>
                    <w:widowControl/>
                    <w:jc w:val="center"/>
                    <w:rPr>
                      <w:rFonts w:hint="eastAsia" w:ascii="Times New Roman" w:hAnsi="Times New Roman" w:eastAsia="宋体" w:cs="Times New Roman"/>
                      <w:color w:val="FF0000"/>
                      <w:szCs w:val="21"/>
                    </w:rPr>
                  </w:pPr>
                  <w:r>
                    <w:rPr>
                      <w:rFonts w:hint="eastAsia" w:ascii="Times New Roman" w:hAnsi="Times New Roman" w:eastAsia="宋体" w:cs="Times New Roman"/>
                      <w:color w:val="FF0000"/>
                      <w:szCs w:val="21"/>
                    </w:rPr>
                    <w:t>4.0</w:t>
                  </w: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ind w:firstLine="371" w:firstLineChars="176"/>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w:t>
            </w:r>
            <w:r>
              <w:rPr>
                <w:rFonts w:hint="eastAsia"/>
                <w:b/>
                <w:bCs/>
                <w:color w:val="000000" w:themeColor="text1"/>
                <w:szCs w:val="21"/>
                <w14:textFill>
                  <w14:solidFill>
                    <w14:schemeClr w14:val="tx1"/>
                  </w14:solidFill>
                </w14:textFill>
              </w:rPr>
              <w:t>2</w:t>
            </w:r>
            <w:r>
              <w:rPr>
                <w:b/>
                <w:bCs/>
                <w:color w:val="000000" w:themeColor="text1"/>
                <w:szCs w:val="21"/>
                <w14:textFill>
                  <w14:solidFill>
                    <w14:schemeClr w14:val="tx1"/>
                  </w14:solidFill>
                </w14:textFill>
              </w:rPr>
              <w:t>项目有组织废气排放</w:t>
            </w:r>
            <w:r>
              <w:rPr>
                <w:rFonts w:hint="eastAsia"/>
                <w:b/>
                <w:bCs/>
                <w:color w:val="000000" w:themeColor="text1"/>
                <w:szCs w:val="21"/>
                <w14:textFill>
                  <w14:solidFill>
                    <w14:schemeClr w14:val="tx1"/>
                  </w14:solidFill>
                </w14:textFill>
              </w:rPr>
              <w:t>源基本情况</w:t>
            </w:r>
          </w:p>
          <w:tbl>
            <w:tblPr>
              <w:tblStyle w:val="33"/>
              <w:tblW w:w="496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02"/>
              <w:gridCol w:w="1192"/>
              <w:gridCol w:w="1224"/>
              <w:gridCol w:w="477"/>
              <w:gridCol w:w="504"/>
              <w:gridCol w:w="639"/>
              <w:gridCol w:w="741"/>
              <w:gridCol w:w="954"/>
              <w:gridCol w:w="1048"/>
              <w:gridCol w:w="9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45" w:hRule="atLeast"/>
                <w:jc w:val="center"/>
              </w:trPr>
              <w:tc>
                <w:tcPr>
                  <w:tcW w:w="471" w:type="pct"/>
                  <w:vMerge w:val="restar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点源</w:t>
                  </w:r>
                </w:p>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1419" w:type="pct"/>
                  <w:gridSpan w:val="2"/>
                  <w:vAlign w:val="center"/>
                </w:tcPr>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坐标</w:t>
                  </w:r>
                </w:p>
              </w:tc>
              <w:tc>
                <w:tcPr>
                  <w:tcW w:w="280" w:type="pct"/>
                  <w:vMerge w:val="restart"/>
                  <w:vAlign w:val="center"/>
                </w:tcPr>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排气筒高度</w:t>
                  </w:r>
                </w:p>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w:t>
                  </w:r>
                </w:p>
              </w:tc>
              <w:tc>
                <w:tcPr>
                  <w:tcW w:w="296" w:type="pct"/>
                  <w:vMerge w:val="restart"/>
                  <w:vAlign w:val="center"/>
                </w:tcPr>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排气筒内径</w:t>
                  </w:r>
                </w:p>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w:t>
                  </w:r>
                </w:p>
              </w:tc>
              <w:tc>
                <w:tcPr>
                  <w:tcW w:w="375" w:type="pct"/>
                  <w:vMerge w:val="restart"/>
                  <w:vAlign w:val="center"/>
                </w:tcPr>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温度</w:t>
                  </w:r>
                </w:p>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w:t>
                  </w:r>
                </w:p>
              </w:tc>
              <w:tc>
                <w:tcPr>
                  <w:tcW w:w="435" w:type="pct"/>
                  <w:vMerge w:val="restart"/>
                  <w:vAlign w:val="center"/>
                </w:tcPr>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流速</w:t>
                  </w:r>
                </w:p>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(m/s)</w:t>
                  </w:r>
                </w:p>
              </w:tc>
              <w:tc>
                <w:tcPr>
                  <w:tcW w:w="560" w:type="pct"/>
                  <w:vMerge w:val="restart"/>
                  <w:vAlign w:val="center"/>
                </w:tcPr>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排放小时数h</w:t>
                  </w:r>
                </w:p>
              </w:tc>
              <w:tc>
                <w:tcPr>
                  <w:tcW w:w="615" w:type="pct"/>
                  <w:vMerge w:val="restart"/>
                  <w:vAlign w:val="center"/>
                </w:tcPr>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污染物名称</w:t>
                  </w:r>
                </w:p>
              </w:tc>
              <w:tc>
                <w:tcPr>
                  <w:tcW w:w="545" w:type="pct"/>
                  <w:vMerge w:val="restart"/>
                  <w:vAlign w:val="center"/>
                </w:tcPr>
                <w:p>
                  <w:pPr>
                    <w:widowControl/>
                    <w:jc w:val="center"/>
                    <w:rPr>
                      <w:b/>
                      <w:bCs/>
                      <w:color w:val="000000" w:themeColor="text1"/>
                      <w:szCs w:val="21"/>
                      <w14:textFill>
                        <w14:solidFill>
                          <w14:schemeClr w14:val="tx1"/>
                        </w14:solidFill>
                      </w14:textFill>
                    </w:rPr>
                  </w:pPr>
                  <w:r>
                    <w:rPr>
                      <w:b/>
                      <w:bCs/>
                      <w:color w:val="000000" w:themeColor="text1"/>
                      <w:kern w:val="0"/>
                      <w:szCs w:val="21"/>
                      <w14:textFill>
                        <w14:solidFill>
                          <w14:schemeClr w14:val="tx1"/>
                        </w14:solidFill>
                      </w14:textFill>
                    </w:rPr>
                    <w:t>排放类型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45" w:hRule="atLeast"/>
                <w:jc w:val="center"/>
              </w:trPr>
              <w:tc>
                <w:tcPr>
                  <w:tcW w:w="471" w:type="pct"/>
                  <w:vMerge w:val="continue"/>
                  <w:vAlign w:val="center"/>
                </w:tcPr>
                <w:p>
                  <w:pPr>
                    <w:snapToGrid w:val="0"/>
                    <w:jc w:val="center"/>
                    <w:rPr>
                      <w:color w:val="000000" w:themeColor="text1"/>
                      <w:szCs w:val="21"/>
                      <w14:textFill>
                        <w14:solidFill>
                          <w14:schemeClr w14:val="tx1"/>
                        </w14:solidFill>
                      </w14:textFill>
                    </w:rPr>
                  </w:pPr>
                </w:p>
              </w:tc>
              <w:tc>
                <w:tcPr>
                  <w:tcW w:w="700" w:type="pct"/>
                  <w:vAlign w:val="center"/>
                </w:tcPr>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x</w:t>
                  </w:r>
                </w:p>
              </w:tc>
              <w:tc>
                <w:tcPr>
                  <w:tcW w:w="718" w:type="pct"/>
                  <w:vAlign w:val="center"/>
                </w:tcPr>
                <w:p>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y</w:t>
                  </w:r>
                </w:p>
              </w:tc>
              <w:tc>
                <w:tcPr>
                  <w:tcW w:w="280" w:type="pct"/>
                  <w:vMerge w:val="continue"/>
                  <w:vAlign w:val="center"/>
                </w:tcPr>
                <w:p>
                  <w:pPr>
                    <w:snapToGrid w:val="0"/>
                    <w:jc w:val="center"/>
                    <w:rPr>
                      <w:color w:val="000000" w:themeColor="text1"/>
                      <w:szCs w:val="21"/>
                      <w14:textFill>
                        <w14:solidFill>
                          <w14:schemeClr w14:val="tx1"/>
                        </w14:solidFill>
                      </w14:textFill>
                    </w:rPr>
                  </w:pPr>
                </w:p>
              </w:tc>
              <w:tc>
                <w:tcPr>
                  <w:tcW w:w="296" w:type="pct"/>
                  <w:vMerge w:val="continue"/>
                  <w:vAlign w:val="center"/>
                </w:tcPr>
                <w:p>
                  <w:pPr>
                    <w:snapToGrid w:val="0"/>
                    <w:jc w:val="center"/>
                    <w:rPr>
                      <w:color w:val="000000" w:themeColor="text1"/>
                      <w:szCs w:val="21"/>
                      <w14:textFill>
                        <w14:solidFill>
                          <w14:schemeClr w14:val="tx1"/>
                        </w14:solidFill>
                      </w14:textFill>
                    </w:rPr>
                  </w:pPr>
                </w:p>
              </w:tc>
              <w:tc>
                <w:tcPr>
                  <w:tcW w:w="375" w:type="pct"/>
                  <w:vMerge w:val="continue"/>
                  <w:vAlign w:val="center"/>
                </w:tcPr>
                <w:p>
                  <w:pPr>
                    <w:snapToGrid w:val="0"/>
                    <w:jc w:val="center"/>
                    <w:rPr>
                      <w:color w:val="000000" w:themeColor="text1"/>
                      <w:szCs w:val="21"/>
                      <w14:textFill>
                        <w14:solidFill>
                          <w14:schemeClr w14:val="tx1"/>
                        </w14:solidFill>
                      </w14:textFill>
                    </w:rPr>
                  </w:pPr>
                </w:p>
              </w:tc>
              <w:tc>
                <w:tcPr>
                  <w:tcW w:w="435" w:type="pct"/>
                  <w:vMerge w:val="continue"/>
                  <w:vAlign w:val="center"/>
                </w:tcPr>
                <w:p>
                  <w:pPr>
                    <w:snapToGrid w:val="0"/>
                    <w:jc w:val="center"/>
                    <w:rPr>
                      <w:color w:val="000000" w:themeColor="text1"/>
                      <w:szCs w:val="21"/>
                      <w14:textFill>
                        <w14:solidFill>
                          <w14:schemeClr w14:val="tx1"/>
                        </w14:solidFill>
                      </w14:textFill>
                    </w:rPr>
                  </w:pPr>
                </w:p>
              </w:tc>
              <w:tc>
                <w:tcPr>
                  <w:tcW w:w="560" w:type="pct"/>
                  <w:vMerge w:val="continue"/>
                  <w:vAlign w:val="center"/>
                </w:tcPr>
                <w:p>
                  <w:pPr>
                    <w:snapToGrid w:val="0"/>
                    <w:jc w:val="center"/>
                    <w:rPr>
                      <w:color w:val="000000" w:themeColor="text1"/>
                      <w:szCs w:val="21"/>
                      <w14:textFill>
                        <w14:solidFill>
                          <w14:schemeClr w14:val="tx1"/>
                        </w14:solidFill>
                      </w14:textFill>
                    </w:rPr>
                  </w:pPr>
                </w:p>
              </w:tc>
              <w:tc>
                <w:tcPr>
                  <w:tcW w:w="615" w:type="pct"/>
                  <w:vMerge w:val="continue"/>
                  <w:vAlign w:val="center"/>
                </w:tcPr>
                <w:p>
                  <w:pPr>
                    <w:snapToGrid w:val="0"/>
                    <w:jc w:val="center"/>
                    <w:rPr>
                      <w:color w:val="000000" w:themeColor="text1"/>
                      <w:szCs w:val="21"/>
                      <w14:textFill>
                        <w14:solidFill>
                          <w14:schemeClr w14:val="tx1"/>
                        </w14:solidFill>
                      </w14:textFill>
                    </w:rPr>
                  </w:pPr>
                </w:p>
              </w:tc>
              <w:tc>
                <w:tcPr>
                  <w:tcW w:w="545" w:type="pct"/>
                  <w:vMerge w:val="continue"/>
                  <w:vAlign w:val="center"/>
                </w:tcPr>
                <w:p>
                  <w:pPr>
                    <w:snapToGrid w:val="0"/>
                    <w:jc w:val="center"/>
                    <w:rPr>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6" w:hRule="atLeast"/>
                <w:jc w:val="center"/>
              </w:trPr>
              <w:tc>
                <w:tcPr>
                  <w:tcW w:w="47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DA001</w:t>
                  </w:r>
                </w:p>
              </w:tc>
              <w:tc>
                <w:tcPr>
                  <w:tcW w:w="70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119.922091</w:t>
                  </w:r>
                </w:p>
              </w:tc>
              <w:tc>
                <w:tcPr>
                  <w:tcW w:w="718" w:type="pct"/>
                  <w:vAlign w:val="center"/>
                </w:tcPr>
                <w:p>
                  <w:pPr>
                    <w:pStyle w:val="16"/>
                    <w:spacing w:after="0" w:line="24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32.351735</w:t>
                  </w:r>
                </w:p>
              </w:tc>
              <w:tc>
                <w:tcPr>
                  <w:tcW w:w="280" w:type="pct"/>
                  <w:vAlign w:val="center"/>
                </w:tcPr>
                <w:p>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20</w:t>
                  </w:r>
                </w:p>
              </w:tc>
              <w:tc>
                <w:tcPr>
                  <w:tcW w:w="296" w:type="pct"/>
                  <w:vAlign w:val="center"/>
                </w:tcPr>
                <w:p>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0.5</w:t>
                  </w:r>
                </w:p>
              </w:tc>
              <w:tc>
                <w:tcPr>
                  <w:tcW w:w="375" w:type="pct"/>
                  <w:vAlign w:val="center"/>
                </w:tcPr>
                <w:p>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25</w:t>
                  </w:r>
                </w:p>
              </w:tc>
              <w:tc>
                <w:tcPr>
                  <w:tcW w:w="435" w:type="pct"/>
                  <w:vAlign w:val="center"/>
                </w:tcPr>
                <w:p>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15</w:t>
                  </w:r>
                </w:p>
              </w:tc>
              <w:tc>
                <w:tcPr>
                  <w:tcW w:w="56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2400</w:t>
                  </w:r>
                </w:p>
              </w:tc>
              <w:tc>
                <w:tcPr>
                  <w:tcW w:w="615" w:type="pct"/>
                  <w:vAlign w:val="center"/>
                </w:tcPr>
                <w:p>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颗粒物</w:t>
                  </w:r>
                </w:p>
              </w:tc>
              <w:tc>
                <w:tcPr>
                  <w:tcW w:w="545" w:type="pct"/>
                  <w:vAlign w:val="center"/>
                </w:tcPr>
                <w:p>
                  <w:pPr>
                    <w:widowControl/>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一般排放口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6" w:hRule="atLeast"/>
                <w:jc w:val="center"/>
              </w:trPr>
              <w:tc>
                <w:tcPr>
                  <w:tcW w:w="47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DA002</w:t>
                  </w:r>
                </w:p>
              </w:tc>
              <w:tc>
                <w:tcPr>
                  <w:tcW w:w="1308"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119.922091</w:t>
                  </w:r>
                </w:p>
              </w:tc>
              <w:tc>
                <w:tcPr>
                  <w:tcW w:w="1341" w:type="dxa"/>
                  <w:vAlign w:val="center"/>
                </w:tcPr>
                <w:p>
                  <w:pPr>
                    <w:pStyle w:val="16"/>
                    <w:spacing w:after="0" w:line="24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32.351735</w:t>
                  </w:r>
                </w:p>
              </w:tc>
              <w:tc>
                <w:tcPr>
                  <w:tcW w:w="28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29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0.5</w:t>
                  </w:r>
                </w:p>
              </w:tc>
              <w:tc>
                <w:tcPr>
                  <w:tcW w:w="701"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81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104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2400</w:t>
                  </w:r>
                </w:p>
              </w:tc>
              <w:tc>
                <w:tcPr>
                  <w:tcW w:w="1149" w:type="dxa"/>
                  <w:vAlign w:val="center"/>
                </w:tcPr>
                <w:p>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非甲烷总烃</w:t>
                  </w:r>
                </w:p>
              </w:tc>
              <w:tc>
                <w:tcPr>
                  <w:tcW w:w="1018" w:type="dxa"/>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一般排放口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6" w:hRule="atLeast"/>
                <w:jc w:val="center"/>
              </w:trPr>
              <w:tc>
                <w:tcPr>
                  <w:tcW w:w="47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DA003</w:t>
                  </w:r>
                </w:p>
              </w:tc>
              <w:tc>
                <w:tcPr>
                  <w:tcW w:w="1308"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119.922091</w:t>
                  </w:r>
                </w:p>
              </w:tc>
              <w:tc>
                <w:tcPr>
                  <w:tcW w:w="1341" w:type="dxa"/>
                  <w:vAlign w:val="center"/>
                </w:tcPr>
                <w:p>
                  <w:pPr>
                    <w:pStyle w:val="16"/>
                    <w:spacing w:after="0" w:line="24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32.351735</w:t>
                  </w:r>
                </w:p>
              </w:tc>
              <w:tc>
                <w:tcPr>
                  <w:tcW w:w="52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55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0.5</w:t>
                  </w:r>
                </w:p>
              </w:tc>
              <w:tc>
                <w:tcPr>
                  <w:tcW w:w="701"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81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104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800</w:t>
                  </w:r>
                </w:p>
              </w:tc>
              <w:tc>
                <w:tcPr>
                  <w:tcW w:w="1149" w:type="dxa"/>
                  <w:vAlign w:val="center"/>
                </w:tcPr>
                <w:p>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颗粒物</w:t>
                  </w:r>
                </w:p>
              </w:tc>
              <w:tc>
                <w:tcPr>
                  <w:tcW w:w="1018" w:type="dxa"/>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一般排放口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6" w:hRule="atLeast"/>
                <w:jc w:val="center"/>
              </w:trPr>
              <w:tc>
                <w:tcPr>
                  <w:tcW w:w="881"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DA004</w:t>
                  </w:r>
                </w:p>
              </w:tc>
              <w:tc>
                <w:tcPr>
                  <w:tcW w:w="1308"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119.922091</w:t>
                  </w:r>
                </w:p>
              </w:tc>
              <w:tc>
                <w:tcPr>
                  <w:tcW w:w="1341" w:type="dxa"/>
                  <w:vAlign w:val="center"/>
                </w:tcPr>
                <w:p>
                  <w:pPr>
                    <w:pStyle w:val="16"/>
                    <w:spacing w:after="0" w:line="24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32.351735</w:t>
                  </w:r>
                </w:p>
              </w:tc>
              <w:tc>
                <w:tcPr>
                  <w:tcW w:w="52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55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0.5</w:t>
                  </w:r>
                </w:p>
              </w:tc>
              <w:tc>
                <w:tcPr>
                  <w:tcW w:w="701"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81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104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2400</w:t>
                  </w:r>
                </w:p>
              </w:tc>
              <w:tc>
                <w:tcPr>
                  <w:tcW w:w="1149" w:type="dxa"/>
                  <w:vAlign w:val="center"/>
                </w:tcPr>
                <w:p>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非甲烷总烃、颗粒物</w:t>
                  </w:r>
                </w:p>
              </w:tc>
              <w:tc>
                <w:tcPr>
                  <w:tcW w:w="1018" w:type="dxa"/>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一般排放口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6" w:hRule="atLeast"/>
                <w:jc w:val="center"/>
              </w:trPr>
              <w:tc>
                <w:tcPr>
                  <w:tcW w:w="881"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DA005</w:t>
                  </w:r>
                </w:p>
              </w:tc>
              <w:tc>
                <w:tcPr>
                  <w:tcW w:w="1308"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119.922091</w:t>
                  </w:r>
                </w:p>
              </w:tc>
              <w:tc>
                <w:tcPr>
                  <w:tcW w:w="1341" w:type="dxa"/>
                  <w:vAlign w:val="center"/>
                </w:tcPr>
                <w:p>
                  <w:pPr>
                    <w:pStyle w:val="16"/>
                    <w:spacing w:after="0" w:line="24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32.351735</w:t>
                  </w:r>
                </w:p>
              </w:tc>
              <w:tc>
                <w:tcPr>
                  <w:tcW w:w="52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55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0.5</w:t>
                  </w:r>
                </w:p>
              </w:tc>
              <w:tc>
                <w:tcPr>
                  <w:tcW w:w="701"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81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104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2400</w:t>
                  </w:r>
                </w:p>
              </w:tc>
              <w:tc>
                <w:tcPr>
                  <w:tcW w:w="1149" w:type="dxa"/>
                  <w:vAlign w:val="center"/>
                </w:tcPr>
                <w:p>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非甲烷总烃</w:t>
                  </w:r>
                </w:p>
              </w:tc>
              <w:tc>
                <w:tcPr>
                  <w:tcW w:w="1018" w:type="dxa"/>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一般排放口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6" w:hRule="atLeast"/>
                <w:jc w:val="center"/>
              </w:trPr>
              <w:tc>
                <w:tcPr>
                  <w:tcW w:w="881"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DA006</w:t>
                  </w:r>
                </w:p>
              </w:tc>
              <w:tc>
                <w:tcPr>
                  <w:tcW w:w="1308"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119.922091</w:t>
                  </w:r>
                </w:p>
              </w:tc>
              <w:tc>
                <w:tcPr>
                  <w:tcW w:w="1341" w:type="dxa"/>
                  <w:vAlign w:val="center"/>
                </w:tcPr>
                <w:p>
                  <w:pPr>
                    <w:pStyle w:val="16"/>
                    <w:spacing w:after="0" w:line="24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32.351735</w:t>
                  </w:r>
                </w:p>
              </w:tc>
              <w:tc>
                <w:tcPr>
                  <w:tcW w:w="52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55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0.5</w:t>
                  </w:r>
                </w:p>
              </w:tc>
              <w:tc>
                <w:tcPr>
                  <w:tcW w:w="701"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81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104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2400</w:t>
                  </w:r>
                </w:p>
              </w:tc>
              <w:tc>
                <w:tcPr>
                  <w:tcW w:w="1149" w:type="dxa"/>
                  <w:vAlign w:val="center"/>
                </w:tcPr>
                <w:p>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非甲烷总烃</w:t>
                  </w:r>
                </w:p>
              </w:tc>
              <w:tc>
                <w:tcPr>
                  <w:tcW w:w="1018" w:type="dxa"/>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一般排放口</w:t>
                  </w: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ind w:firstLine="371" w:firstLineChars="176"/>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w:t>
            </w:r>
            <w:r>
              <w:rPr>
                <w:rFonts w:hint="eastAsia"/>
                <w:b/>
                <w:bCs/>
                <w:color w:val="000000" w:themeColor="text1"/>
                <w:szCs w:val="21"/>
                <w14:textFill>
                  <w14:solidFill>
                    <w14:schemeClr w14:val="tx1"/>
                  </w14:solidFill>
                </w14:textFill>
              </w:rPr>
              <w:t>3</w:t>
            </w:r>
            <w:r>
              <w:rPr>
                <w:b/>
                <w:bCs/>
                <w:color w:val="000000" w:themeColor="text1"/>
                <w:szCs w:val="21"/>
                <w14:textFill>
                  <w14:solidFill>
                    <w14:schemeClr w14:val="tx1"/>
                  </w14:solidFill>
                </w14:textFill>
              </w:rPr>
              <w:t>项目无组织废气排放</w:t>
            </w:r>
            <w:r>
              <w:rPr>
                <w:rFonts w:hint="eastAsia"/>
                <w:b/>
                <w:bCs/>
                <w:color w:val="000000" w:themeColor="text1"/>
                <w:szCs w:val="21"/>
                <w14:textFill>
                  <w14:solidFill>
                    <w14:schemeClr w14:val="tx1"/>
                  </w14:solidFill>
                </w14:textFill>
              </w:rPr>
              <w:t>源基本情况</w:t>
            </w:r>
          </w:p>
          <w:tbl>
            <w:tblPr>
              <w:tblStyle w:val="33"/>
              <w:tblW w:w="496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73"/>
              <w:gridCol w:w="1258"/>
              <w:gridCol w:w="1294"/>
              <w:gridCol w:w="624"/>
              <w:gridCol w:w="707"/>
              <w:gridCol w:w="848"/>
              <w:gridCol w:w="830"/>
              <w:gridCol w:w="1160"/>
              <w:gridCol w:w="9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12" w:type="pct"/>
                  <w:vMerge w:val="restart"/>
                  <w:vAlign w:val="center"/>
                </w:tcPr>
                <w:p>
                  <w:pPr>
                    <w:snapToGrid w:val="0"/>
                    <w:jc w:val="center"/>
                    <w:rPr>
                      <w:rFonts w:hint="default" w:ascii="Times New Roman" w:hAnsi="Times New Roman" w:cs="Times New Roman"/>
                      <w:b/>
                      <w:bCs/>
                      <w:color w:val="FF0000"/>
                      <w:szCs w:val="21"/>
                    </w:rPr>
                  </w:pPr>
                  <w:r>
                    <w:rPr>
                      <w:rFonts w:hint="default" w:ascii="Times New Roman" w:hAnsi="Times New Roman" w:cs="Times New Roman"/>
                      <w:b/>
                      <w:bCs/>
                      <w:color w:val="FF0000"/>
                      <w:szCs w:val="21"/>
                    </w:rPr>
                    <w:t>名称</w:t>
                  </w:r>
                </w:p>
              </w:tc>
              <w:tc>
                <w:tcPr>
                  <w:tcW w:w="1498" w:type="pct"/>
                  <w:gridSpan w:val="2"/>
                  <w:vAlign w:val="center"/>
                </w:tcPr>
                <w:p>
                  <w:pPr>
                    <w:snapToGrid w:val="0"/>
                    <w:jc w:val="center"/>
                    <w:rPr>
                      <w:rFonts w:hint="default" w:ascii="Times New Roman" w:hAnsi="Times New Roman" w:cs="Times New Roman"/>
                      <w:b/>
                      <w:bCs/>
                      <w:color w:val="FF0000"/>
                      <w:szCs w:val="21"/>
                    </w:rPr>
                  </w:pPr>
                  <w:r>
                    <w:rPr>
                      <w:rFonts w:hint="default" w:ascii="Times New Roman" w:hAnsi="Times New Roman" w:cs="Times New Roman"/>
                      <w:b/>
                      <w:bCs/>
                      <w:color w:val="FF0000"/>
                      <w:szCs w:val="21"/>
                    </w:rPr>
                    <w:t>坐标</w:t>
                  </w:r>
                </w:p>
              </w:tc>
              <w:tc>
                <w:tcPr>
                  <w:tcW w:w="366" w:type="pct"/>
                  <w:vMerge w:val="restart"/>
                  <w:vAlign w:val="center"/>
                </w:tcPr>
                <w:p>
                  <w:pPr>
                    <w:snapToGrid w:val="0"/>
                    <w:jc w:val="center"/>
                    <w:rPr>
                      <w:rFonts w:hint="default" w:ascii="Times New Roman" w:hAnsi="Times New Roman" w:cs="Times New Roman"/>
                      <w:b/>
                      <w:bCs/>
                      <w:color w:val="FF0000"/>
                      <w:szCs w:val="21"/>
                    </w:rPr>
                  </w:pPr>
                  <w:r>
                    <w:rPr>
                      <w:rFonts w:hint="default" w:ascii="Times New Roman" w:hAnsi="Times New Roman" w:cs="Times New Roman"/>
                      <w:b/>
                      <w:bCs/>
                      <w:color w:val="FF0000"/>
                      <w:szCs w:val="21"/>
                    </w:rPr>
                    <w:t>面源长度</w:t>
                  </w:r>
                </w:p>
              </w:tc>
              <w:tc>
                <w:tcPr>
                  <w:tcW w:w="415" w:type="pct"/>
                  <w:vMerge w:val="restart"/>
                  <w:vAlign w:val="center"/>
                </w:tcPr>
                <w:p>
                  <w:pPr>
                    <w:snapToGrid w:val="0"/>
                    <w:jc w:val="center"/>
                    <w:rPr>
                      <w:rFonts w:hint="default" w:ascii="Times New Roman" w:hAnsi="Times New Roman" w:cs="Times New Roman"/>
                      <w:b/>
                      <w:bCs/>
                      <w:color w:val="FF0000"/>
                      <w:szCs w:val="21"/>
                    </w:rPr>
                  </w:pPr>
                  <w:r>
                    <w:rPr>
                      <w:rFonts w:hint="default" w:ascii="Times New Roman" w:hAnsi="Times New Roman" w:cs="Times New Roman"/>
                      <w:b/>
                      <w:bCs/>
                      <w:color w:val="FF0000"/>
                      <w:szCs w:val="21"/>
                    </w:rPr>
                    <w:t>面源宽度</w:t>
                  </w:r>
                </w:p>
              </w:tc>
              <w:tc>
                <w:tcPr>
                  <w:tcW w:w="497" w:type="pct"/>
                  <w:vMerge w:val="restart"/>
                  <w:vAlign w:val="center"/>
                </w:tcPr>
                <w:p>
                  <w:pPr>
                    <w:snapToGrid w:val="0"/>
                    <w:jc w:val="center"/>
                    <w:rPr>
                      <w:rFonts w:hint="default" w:ascii="Times New Roman" w:hAnsi="Times New Roman" w:cs="Times New Roman"/>
                      <w:b/>
                      <w:bCs/>
                      <w:color w:val="FF0000"/>
                      <w:szCs w:val="21"/>
                    </w:rPr>
                  </w:pPr>
                  <w:r>
                    <w:rPr>
                      <w:rFonts w:hint="default" w:ascii="Times New Roman" w:hAnsi="Times New Roman" w:cs="Times New Roman"/>
                      <w:b/>
                      <w:bCs/>
                      <w:color w:val="FF0000"/>
                      <w:szCs w:val="21"/>
                    </w:rPr>
                    <w:t>面源有效排放高度</w:t>
                  </w:r>
                </w:p>
              </w:tc>
              <w:tc>
                <w:tcPr>
                  <w:tcW w:w="487" w:type="pct"/>
                  <w:vMerge w:val="restart"/>
                  <w:vAlign w:val="center"/>
                </w:tcPr>
                <w:p>
                  <w:pPr>
                    <w:snapToGrid w:val="0"/>
                    <w:jc w:val="center"/>
                    <w:rPr>
                      <w:rFonts w:hint="default" w:ascii="Times New Roman" w:hAnsi="Times New Roman" w:cs="Times New Roman"/>
                      <w:b/>
                      <w:bCs/>
                      <w:color w:val="FF0000"/>
                      <w:szCs w:val="21"/>
                    </w:rPr>
                  </w:pPr>
                  <w:r>
                    <w:rPr>
                      <w:rFonts w:hint="default" w:ascii="Times New Roman" w:hAnsi="Times New Roman" w:cs="Times New Roman"/>
                      <w:b/>
                      <w:bCs/>
                      <w:color w:val="FF0000"/>
                      <w:szCs w:val="21"/>
                    </w:rPr>
                    <w:t>排放小时数h</w:t>
                  </w:r>
                </w:p>
              </w:tc>
              <w:tc>
                <w:tcPr>
                  <w:tcW w:w="681" w:type="pct"/>
                  <w:vMerge w:val="restart"/>
                  <w:vAlign w:val="center"/>
                </w:tcPr>
                <w:p>
                  <w:pPr>
                    <w:snapToGrid w:val="0"/>
                    <w:jc w:val="center"/>
                    <w:rPr>
                      <w:rFonts w:hint="default" w:ascii="Times New Roman" w:hAnsi="Times New Roman" w:cs="Times New Roman"/>
                      <w:b/>
                      <w:bCs/>
                      <w:color w:val="FF0000"/>
                      <w:szCs w:val="21"/>
                    </w:rPr>
                  </w:pPr>
                  <w:r>
                    <w:rPr>
                      <w:rFonts w:hint="default" w:ascii="Times New Roman" w:hAnsi="Times New Roman" w:cs="Times New Roman"/>
                      <w:b/>
                      <w:bCs/>
                      <w:color w:val="FF0000"/>
                      <w:szCs w:val="21"/>
                    </w:rPr>
                    <w:t>污染物名称</w:t>
                  </w:r>
                </w:p>
              </w:tc>
              <w:tc>
                <w:tcPr>
                  <w:tcW w:w="540" w:type="pct"/>
                  <w:vMerge w:val="restart"/>
                  <w:vAlign w:val="center"/>
                </w:tcPr>
                <w:p>
                  <w:pPr>
                    <w:snapToGrid w:val="0"/>
                    <w:jc w:val="center"/>
                    <w:rPr>
                      <w:rFonts w:hint="default" w:ascii="Times New Roman" w:hAnsi="Times New Roman" w:cs="Times New Roman"/>
                      <w:b/>
                      <w:bCs/>
                      <w:color w:val="FF0000"/>
                      <w:szCs w:val="21"/>
                    </w:rPr>
                  </w:pPr>
                  <w:r>
                    <w:rPr>
                      <w:rFonts w:hint="default" w:ascii="Times New Roman" w:hAnsi="Times New Roman" w:cs="Times New Roman"/>
                      <w:b/>
                      <w:bCs/>
                      <w:color w:val="FF0000"/>
                      <w:kern w:val="0"/>
                      <w:szCs w:val="21"/>
                    </w:rPr>
                    <w:t>污染物排放量t/a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2" w:type="pct"/>
                  <w:vMerge w:val="continue"/>
                  <w:vAlign w:val="center"/>
                </w:tcPr>
                <w:p>
                  <w:pPr>
                    <w:snapToGrid w:val="0"/>
                    <w:jc w:val="center"/>
                    <w:rPr>
                      <w:rFonts w:hint="default" w:ascii="Times New Roman" w:hAnsi="Times New Roman" w:cs="Times New Roman"/>
                      <w:color w:val="FF0000"/>
                      <w:szCs w:val="21"/>
                    </w:rPr>
                  </w:pPr>
                </w:p>
              </w:tc>
              <w:tc>
                <w:tcPr>
                  <w:tcW w:w="738" w:type="pct"/>
                  <w:vAlign w:val="center"/>
                </w:tcPr>
                <w:p>
                  <w:pPr>
                    <w:snapToGrid w:val="0"/>
                    <w:jc w:val="center"/>
                    <w:rPr>
                      <w:rFonts w:hint="default" w:ascii="Times New Roman" w:hAnsi="Times New Roman" w:cs="Times New Roman"/>
                      <w:b/>
                      <w:bCs/>
                      <w:color w:val="FF0000"/>
                      <w:szCs w:val="21"/>
                    </w:rPr>
                  </w:pPr>
                  <w:r>
                    <w:rPr>
                      <w:rFonts w:hint="default" w:ascii="Times New Roman" w:hAnsi="Times New Roman" w:cs="Times New Roman"/>
                      <w:b/>
                      <w:bCs/>
                      <w:color w:val="FF0000"/>
                      <w:szCs w:val="21"/>
                    </w:rPr>
                    <w:t>x</w:t>
                  </w:r>
                </w:p>
              </w:tc>
              <w:tc>
                <w:tcPr>
                  <w:tcW w:w="759" w:type="pct"/>
                  <w:vAlign w:val="center"/>
                </w:tcPr>
                <w:p>
                  <w:pPr>
                    <w:snapToGrid w:val="0"/>
                    <w:jc w:val="center"/>
                    <w:rPr>
                      <w:rFonts w:hint="default" w:ascii="Times New Roman" w:hAnsi="Times New Roman" w:cs="Times New Roman"/>
                      <w:b/>
                      <w:bCs/>
                      <w:color w:val="FF0000"/>
                      <w:szCs w:val="21"/>
                    </w:rPr>
                  </w:pPr>
                  <w:r>
                    <w:rPr>
                      <w:rFonts w:hint="default" w:ascii="Times New Roman" w:hAnsi="Times New Roman" w:cs="Times New Roman"/>
                      <w:b/>
                      <w:bCs/>
                      <w:color w:val="FF0000"/>
                      <w:szCs w:val="21"/>
                    </w:rPr>
                    <w:t>y</w:t>
                  </w:r>
                </w:p>
              </w:tc>
              <w:tc>
                <w:tcPr>
                  <w:tcW w:w="366" w:type="pct"/>
                  <w:vMerge w:val="continue"/>
                  <w:vAlign w:val="center"/>
                </w:tcPr>
                <w:p>
                  <w:pPr>
                    <w:snapToGrid w:val="0"/>
                    <w:jc w:val="center"/>
                    <w:rPr>
                      <w:rFonts w:hint="default" w:ascii="Times New Roman" w:hAnsi="Times New Roman" w:cs="Times New Roman"/>
                      <w:color w:val="FF0000"/>
                      <w:szCs w:val="21"/>
                    </w:rPr>
                  </w:pPr>
                </w:p>
              </w:tc>
              <w:tc>
                <w:tcPr>
                  <w:tcW w:w="415" w:type="pct"/>
                  <w:vMerge w:val="continue"/>
                  <w:vAlign w:val="center"/>
                </w:tcPr>
                <w:p>
                  <w:pPr>
                    <w:snapToGrid w:val="0"/>
                    <w:jc w:val="center"/>
                    <w:rPr>
                      <w:rFonts w:hint="default" w:ascii="Times New Roman" w:hAnsi="Times New Roman" w:cs="Times New Roman"/>
                      <w:color w:val="FF0000"/>
                      <w:szCs w:val="21"/>
                    </w:rPr>
                  </w:pPr>
                </w:p>
              </w:tc>
              <w:tc>
                <w:tcPr>
                  <w:tcW w:w="497" w:type="pct"/>
                  <w:vMerge w:val="continue"/>
                  <w:vAlign w:val="center"/>
                </w:tcPr>
                <w:p>
                  <w:pPr>
                    <w:snapToGrid w:val="0"/>
                    <w:jc w:val="center"/>
                    <w:rPr>
                      <w:rFonts w:hint="default" w:ascii="Times New Roman" w:hAnsi="Times New Roman" w:cs="Times New Roman"/>
                      <w:color w:val="FF0000"/>
                      <w:szCs w:val="21"/>
                    </w:rPr>
                  </w:pPr>
                </w:p>
              </w:tc>
              <w:tc>
                <w:tcPr>
                  <w:tcW w:w="487" w:type="pct"/>
                  <w:vMerge w:val="continue"/>
                  <w:vAlign w:val="center"/>
                </w:tcPr>
                <w:p>
                  <w:pPr>
                    <w:snapToGrid w:val="0"/>
                    <w:jc w:val="center"/>
                    <w:rPr>
                      <w:rFonts w:hint="default" w:ascii="Times New Roman" w:hAnsi="Times New Roman" w:cs="Times New Roman"/>
                      <w:color w:val="FF0000"/>
                      <w:szCs w:val="21"/>
                    </w:rPr>
                  </w:pPr>
                </w:p>
              </w:tc>
              <w:tc>
                <w:tcPr>
                  <w:tcW w:w="681" w:type="pct"/>
                  <w:vMerge w:val="continue"/>
                  <w:vAlign w:val="center"/>
                </w:tcPr>
                <w:p>
                  <w:pPr>
                    <w:snapToGrid w:val="0"/>
                    <w:jc w:val="center"/>
                    <w:rPr>
                      <w:rFonts w:hint="default" w:ascii="Times New Roman" w:hAnsi="Times New Roman" w:cs="Times New Roman"/>
                      <w:color w:val="FF0000"/>
                      <w:szCs w:val="21"/>
                    </w:rPr>
                  </w:pPr>
                </w:p>
              </w:tc>
              <w:tc>
                <w:tcPr>
                  <w:tcW w:w="540" w:type="pct"/>
                  <w:vMerge w:val="continue"/>
                  <w:vAlign w:val="center"/>
                </w:tcPr>
                <w:p>
                  <w:pPr>
                    <w:snapToGrid w:val="0"/>
                    <w:jc w:val="center"/>
                    <w:rPr>
                      <w:rFonts w:hint="default" w:ascii="Times New Roman" w:hAnsi="Times New Roman" w:cs="Times New Roman"/>
                      <w:color w:val="FF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12" w:type="pct"/>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lang w:val="en-US" w:eastAsia="zh-CN"/>
                    </w:rPr>
                    <w:t>厂房二</w:t>
                  </w:r>
                </w:p>
              </w:tc>
              <w:tc>
                <w:tcPr>
                  <w:tcW w:w="738" w:type="pct"/>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119.922091</w:t>
                  </w:r>
                </w:p>
              </w:tc>
              <w:tc>
                <w:tcPr>
                  <w:tcW w:w="759" w:type="pct"/>
                  <w:vAlign w:val="center"/>
                </w:tcPr>
                <w:p>
                  <w:pPr>
                    <w:pStyle w:val="16"/>
                    <w:spacing w:before="0" w:after="0" w:line="240" w:lineRule="auto"/>
                    <w:jc w:val="center"/>
                    <w:rPr>
                      <w:rFonts w:hint="default" w:ascii="Times New Roman" w:hAnsi="Times New Roman" w:cs="Times New Roman"/>
                      <w:color w:val="FF0000"/>
                      <w:sz w:val="21"/>
                      <w:szCs w:val="21"/>
                    </w:rPr>
                  </w:pPr>
                  <w:r>
                    <w:rPr>
                      <w:rFonts w:hint="default" w:ascii="Times New Roman" w:hAnsi="Times New Roman" w:cs="Times New Roman"/>
                      <w:color w:val="FF0000"/>
                      <w:sz w:val="21"/>
                      <w:szCs w:val="21"/>
                    </w:rPr>
                    <w:t>32.351735</w:t>
                  </w:r>
                </w:p>
              </w:tc>
              <w:tc>
                <w:tcPr>
                  <w:tcW w:w="366" w:type="pct"/>
                  <w:vAlign w:val="center"/>
                </w:tcPr>
                <w:p>
                  <w:pPr>
                    <w:jc w:val="center"/>
                    <w:rPr>
                      <w:rFonts w:hint="default" w:ascii="Times New Roman" w:hAnsi="Times New Roman" w:eastAsia="宋体" w:cs="Times New Roman"/>
                      <w:color w:val="FF0000"/>
                      <w:szCs w:val="21"/>
                      <w:lang w:val="en-US" w:eastAsia="zh-CN"/>
                    </w:rPr>
                  </w:pPr>
                  <w:r>
                    <w:rPr>
                      <w:rFonts w:hint="default" w:ascii="Times New Roman" w:hAnsi="Times New Roman" w:cs="Times New Roman"/>
                      <w:color w:val="FF0000"/>
                      <w:szCs w:val="21"/>
                      <w:lang w:val="en-US" w:eastAsia="zh-CN"/>
                    </w:rPr>
                    <w:t>80m</w:t>
                  </w:r>
                </w:p>
              </w:tc>
              <w:tc>
                <w:tcPr>
                  <w:tcW w:w="415" w:type="pct"/>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lang w:val="en-US" w:eastAsia="zh-CN"/>
                    </w:rPr>
                    <w:t>40</w:t>
                  </w:r>
                  <w:r>
                    <w:rPr>
                      <w:rFonts w:hint="default" w:ascii="Times New Roman" w:hAnsi="Times New Roman" w:cs="Times New Roman"/>
                      <w:color w:val="FF0000"/>
                      <w:szCs w:val="21"/>
                    </w:rPr>
                    <w:t>m</w:t>
                  </w:r>
                </w:p>
              </w:tc>
              <w:tc>
                <w:tcPr>
                  <w:tcW w:w="497" w:type="pct"/>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lang w:val="en-US" w:eastAsia="zh-CN"/>
                    </w:rPr>
                    <w:t>12</w:t>
                  </w:r>
                  <w:r>
                    <w:rPr>
                      <w:rFonts w:hint="default" w:ascii="Times New Roman" w:hAnsi="Times New Roman" w:cs="Times New Roman"/>
                      <w:color w:val="FF0000"/>
                      <w:szCs w:val="21"/>
                    </w:rPr>
                    <w:t>m</w:t>
                  </w:r>
                </w:p>
              </w:tc>
              <w:tc>
                <w:tcPr>
                  <w:tcW w:w="487" w:type="pct"/>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2400</w:t>
                  </w:r>
                </w:p>
              </w:tc>
              <w:tc>
                <w:tcPr>
                  <w:tcW w:w="681" w:type="pct"/>
                  <w:vAlign w:val="center"/>
                </w:tcPr>
                <w:p>
                  <w:pPr>
                    <w:jc w:val="center"/>
                    <w:rPr>
                      <w:rFonts w:hint="default" w:ascii="Times New Roman" w:hAnsi="Times New Roman" w:cs="Times New Roman"/>
                      <w:color w:val="FF0000"/>
                      <w:kern w:val="0"/>
                      <w:szCs w:val="21"/>
                    </w:rPr>
                  </w:pPr>
                  <w:r>
                    <w:rPr>
                      <w:rFonts w:hint="default" w:ascii="Times New Roman" w:hAnsi="Times New Roman" w:cs="Times New Roman"/>
                      <w:color w:val="FF0000"/>
                      <w:kern w:val="0"/>
                      <w:szCs w:val="21"/>
                    </w:rPr>
                    <w:t>非甲烷总烃</w:t>
                  </w:r>
                </w:p>
              </w:tc>
              <w:tc>
                <w:tcPr>
                  <w:tcW w:w="540" w:type="pct"/>
                  <w:vAlign w:val="center"/>
                </w:tcPr>
                <w:p>
                  <w:pPr>
                    <w:jc w:val="center"/>
                    <w:rPr>
                      <w:rFonts w:hint="default" w:ascii="Times New Roman" w:hAnsi="Times New Roman" w:eastAsia="宋体" w:cs="Times New Roman"/>
                      <w:color w:val="FF0000"/>
                      <w:szCs w:val="21"/>
                      <w:lang w:val="en-US" w:eastAsia="zh-CN"/>
                    </w:rPr>
                  </w:pPr>
                  <w:r>
                    <w:rPr>
                      <w:rFonts w:hint="default" w:ascii="Times New Roman" w:hAnsi="Times New Roman" w:cs="Times New Roman"/>
                      <w:color w:val="FF0000"/>
                      <w:szCs w:val="21"/>
                      <w:lang w:val="en-US" w:eastAsia="zh-CN"/>
                    </w:rPr>
                    <w:t>0.0144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12" w:type="pct"/>
                  <w:vAlign w:val="center"/>
                </w:tcPr>
                <w:p>
                  <w:pPr>
                    <w:jc w:val="center"/>
                    <w:rPr>
                      <w:rFonts w:hint="default" w:ascii="Times New Roman" w:hAnsi="Times New Roman" w:eastAsia="宋体" w:cs="Times New Roman"/>
                      <w:color w:val="FF0000"/>
                      <w:szCs w:val="21"/>
                      <w:lang w:val="en-US" w:eastAsia="zh-CN"/>
                    </w:rPr>
                  </w:pPr>
                  <w:r>
                    <w:rPr>
                      <w:rFonts w:hint="default" w:ascii="Times New Roman" w:hAnsi="Times New Roman" w:cs="Times New Roman"/>
                      <w:color w:val="FF0000"/>
                      <w:szCs w:val="21"/>
                      <w:lang w:val="en-US" w:eastAsia="zh-CN"/>
                    </w:rPr>
                    <w:t>厂房三</w:t>
                  </w:r>
                </w:p>
              </w:tc>
              <w:tc>
                <w:tcPr>
                  <w:tcW w:w="738" w:type="pct"/>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119.922091</w:t>
                  </w:r>
                </w:p>
              </w:tc>
              <w:tc>
                <w:tcPr>
                  <w:tcW w:w="759" w:type="pct"/>
                  <w:vAlign w:val="center"/>
                </w:tcPr>
                <w:p>
                  <w:pPr>
                    <w:pStyle w:val="16"/>
                    <w:spacing w:before="0" w:after="0" w:line="240" w:lineRule="auto"/>
                    <w:ind w:right="113" w:rightChars="0"/>
                    <w:jc w:val="center"/>
                    <w:rPr>
                      <w:rFonts w:hint="default" w:ascii="Times New Roman" w:hAnsi="Times New Roman" w:cs="Times New Roman"/>
                      <w:color w:val="FF0000"/>
                      <w:sz w:val="21"/>
                      <w:szCs w:val="21"/>
                    </w:rPr>
                  </w:pPr>
                  <w:r>
                    <w:rPr>
                      <w:rFonts w:hint="default" w:ascii="Times New Roman" w:hAnsi="Times New Roman" w:cs="Times New Roman"/>
                      <w:color w:val="FF0000"/>
                      <w:sz w:val="21"/>
                      <w:szCs w:val="21"/>
                    </w:rPr>
                    <w:t>32.351735</w:t>
                  </w:r>
                </w:p>
              </w:tc>
              <w:tc>
                <w:tcPr>
                  <w:tcW w:w="366" w:type="pct"/>
                  <w:vAlign w:val="center"/>
                </w:tcPr>
                <w:p>
                  <w:pPr>
                    <w:jc w:val="center"/>
                    <w:rPr>
                      <w:rFonts w:hint="default" w:ascii="Times New Roman" w:hAnsi="Times New Roman" w:eastAsia="宋体" w:cs="Times New Roman"/>
                      <w:color w:val="FF0000"/>
                      <w:szCs w:val="21"/>
                      <w:lang w:val="en-US" w:eastAsia="zh-CN"/>
                    </w:rPr>
                  </w:pPr>
                  <w:r>
                    <w:rPr>
                      <w:rFonts w:hint="default" w:ascii="Times New Roman" w:hAnsi="Times New Roman" w:cs="Times New Roman"/>
                      <w:color w:val="FF0000"/>
                      <w:szCs w:val="21"/>
                      <w:lang w:val="en-US" w:eastAsia="zh-CN"/>
                    </w:rPr>
                    <w:t>75m</w:t>
                  </w:r>
                </w:p>
              </w:tc>
              <w:tc>
                <w:tcPr>
                  <w:tcW w:w="415" w:type="pct"/>
                  <w:vAlign w:val="center"/>
                </w:tcPr>
                <w:p>
                  <w:pPr>
                    <w:jc w:val="center"/>
                    <w:rPr>
                      <w:rFonts w:hint="default" w:ascii="Times New Roman" w:hAnsi="Times New Roman" w:eastAsia="宋体" w:cs="Times New Roman"/>
                      <w:color w:val="FF0000"/>
                      <w:szCs w:val="21"/>
                      <w:lang w:val="en-US" w:eastAsia="zh-CN"/>
                    </w:rPr>
                  </w:pPr>
                  <w:r>
                    <w:rPr>
                      <w:rFonts w:hint="default" w:ascii="Times New Roman" w:hAnsi="Times New Roman" w:cs="Times New Roman"/>
                      <w:color w:val="FF0000"/>
                      <w:szCs w:val="21"/>
                      <w:lang w:val="en-US" w:eastAsia="zh-CN"/>
                    </w:rPr>
                    <w:t>40m</w:t>
                  </w:r>
                </w:p>
              </w:tc>
              <w:tc>
                <w:tcPr>
                  <w:tcW w:w="497" w:type="pct"/>
                  <w:vAlign w:val="center"/>
                </w:tcPr>
                <w:p>
                  <w:pPr>
                    <w:jc w:val="center"/>
                    <w:rPr>
                      <w:rFonts w:hint="default" w:ascii="Times New Roman" w:hAnsi="Times New Roman" w:eastAsia="宋体" w:cs="Times New Roman"/>
                      <w:color w:val="FF0000"/>
                      <w:szCs w:val="21"/>
                      <w:lang w:val="en-US" w:eastAsia="zh-CN"/>
                    </w:rPr>
                  </w:pPr>
                  <w:r>
                    <w:rPr>
                      <w:rFonts w:hint="default" w:ascii="Times New Roman" w:hAnsi="Times New Roman" w:cs="Times New Roman"/>
                      <w:color w:val="FF0000"/>
                      <w:szCs w:val="21"/>
                      <w:lang w:val="en-US" w:eastAsia="zh-CN"/>
                    </w:rPr>
                    <w:t>10m</w:t>
                  </w:r>
                </w:p>
              </w:tc>
              <w:tc>
                <w:tcPr>
                  <w:tcW w:w="487" w:type="pct"/>
                  <w:vAlign w:val="center"/>
                </w:tcPr>
                <w:p>
                  <w:pPr>
                    <w:jc w:val="center"/>
                    <w:rPr>
                      <w:rFonts w:hint="default" w:ascii="Times New Roman" w:hAnsi="Times New Roman" w:eastAsia="宋体" w:cs="Times New Roman"/>
                      <w:color w:val="FF0000"/>
                      <w:szCs w:val="21"/>
                      <w:lang w:val="en-US" w:eastAsia="zh-CN"/>
                    </w:rPr>
                  </w:pPr>
                  <w:r>
                    <w:rPr>
                      <w:rFonts w:hint="default" w:ascii="Times New Roman" w:hAnsi="Times New Roman" w:cs="Times New Roman"/>
                      <w:color w:val="FF0000"/>
                      <w:szCs w:val="21"/>
                      <w:lang w:val="en-US" w:eastAsia="zh-CN"/>
                    </w:rPr>
                    <w:t>2400</w:t>
                  </w:r>
                </w:p>
              </w:tc>
              <w:tc>
                <w:tcPr>
                  <w:tcW w:w="681" w:type="pct"/>
                  <w:vAlign w:val="center"/>
                </w:tcPr>
                <w:p>
                  <w:pPr>
                    <w:jc w:val="center"/>
                    <w:rPr>
                      <w:rFonts w:hint="default" w:ascii="Times New Roman" w:hAnsi="Times New Roman" w:cs="Times New Roman"/>
                      <w:color w:val="FF0000"/>
                      <w:kern w:val="0"/>
                      <w:szCs w:val="21"/>
                    </w:rPr>
                  </w:pPr>
                  <w:r>
                    <w:rPr>
                      <w:rFonts w:hint="default" w:ascii="Times New Roman" w:hAnsi="Times New Roman" w:cs="Times New Roman"/>
                      <w:color w:val="FF0000"/>
                      <w:kern w:val="0"/>
                      <w:szCs w:val="21"/>
                    </w:rPr>
                    <w:t>非甲烷总烃</w:t>
                  </w:r>
                </w:p>
              </w:tc>
              <w:tc>
                <w:tcPr>
                  <w:tcW w:w="540" w:type="pct"/>
                  <w:vAlign w:val="center"/>
                </w:tcPr>
                <w:p>
                  <w:pPr>
                    <w:jc w:val="center"/>
                    <w:rPr>
                      <w:rFonts w:hint="default" w:ascii="Times New Roman" w:hAnsi="Times New Roman" w:eastAsia="宋体" w:cs="Times New Roman"/>
                      <w:color w:val="FF0000"/>
                      <w:szCs w:val="21"/>
                      <w:lang w:val="en-US" w:eastAsia="zh-CN"/>
                    </w:rPr>
                  </w:pPr>
                  <w:r>
                    <w:rPr>
                      <w:rFonts w:hint="default" w:ascii="Times New Roman" w:hAnsi="Times New Roman" w:cs="Times New Roman"/>
                      <w:color w:val="FF0000"/>
                      <w:szCs w:val="21"/>
                      <w:lang w:val="en-US" w:eastAsia="zh-CN"/>
                    </w:rPr>
                    <w:t>0.025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12" w:type="pct"/>
                  <w:vAlign w:val="center"/>
                </w:tcPr>
                <w:p>
                  <w:pPr>
                    <w:jc w:val="center"/>
                    <w:rPr>
                      <w:rFonts w:hint="default" w:ascii="Times New Roman" w:hAnsi="Times New Roman" w:cs="Times New Roman"/>
                      <w:color w:val="FF0000"/>
                      <w:szCs w:val="21"/>
                      <w:lang w:val="en-US" w:eastAsia="zh-CN"/>
                    </w:rPr>
                  </w:pPr>
                  <w:r>
                    <w:rPr>
                      <w:rFonts w:hint="default" w:ascii="Times New Roman" w:hAnsi="Times New Roman" w:cs="Times New Roman"/>
                      <w:color w:val="FF0000"/>
                      <w:szCs w:val="21"/>
                      <w:lang w:val="en-US" w:eastAsia="zh-CN"/>
                    </w:rPr>
                    <w:t>厂房三</w:t>
                  </w:r>
                </w:p>
              </w:tc>
              <w:tc>
                <w:tcPr>
                  <w:tcW w:w="738" w:type="pct"/>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119.922091</w:t>
                  </w:r>
                </w:p>
              </w:tc>
              <w:tc>
                <w:tcPr>
                  <w:tcW w:w="759" w:type="pct"/>
                  <w:vAlign w:val="center"/>
                </w:tcPr>
                <w:p>
                  <w:pPr>
                    <w:pStyle w:val="16"/>
                    <w:spacing w:before="0" w:after="0" w:line="240" w:lineRule="auto"/>
                    <w:ind w:right="113" w:rightChars="0"/>
                    <w:jc w:val="center"/>
                    <w:rPr>
                      <w:rFonts w:hint="default" w:ascii="Times New Roman" w:hAnsi="Times New Roman" w:cs="Times New Roman"/>
                      <w:color w:val="FF0000"/>
                      <w:sz w:val="21"/>
                      <w:szCs w:val="21"/>
                    </w:rPr>
                  </w:pPr>
                  <w:r>
                    <w:rPr>
                      <w:rFonts w:hint="default" w:ascii="Times New Roman" w:hAnsi="Times New Roman" w:cs="Times New Roman"/>
                      <w:color w:val="FF0000"/>
                      <w:sz w:val="21"/>
                      <w:szCs w:val="21"/>
                    </w:rPr>
                    <w:t>32.351735</w:t>
                  </w:r>
                </w:p>
              </w:tc>
              <w:tc>
                <w:tcPr>
                  <w:tcW w:w="366" w:type="pct"/>
                  <w:vAlign w:val="center"/>
                </w:tcPr>
                <w:p>
                  <w:pPr>
                    <w:jc w:val="center"/>
                    <w:rPr>
                      <w:rFonts w:hint="default" w:ascii="Times New Roman" w:hAnsi="Times New Roman" w:cs="Times New Roman"/>
                      <w:color w:val="FF0000"/>
                      <w:szCs w:val="21"/>
                      <w:lang w:val="en-US" w:eastAsia="zh-CN"/>
                    </w:rPr>
                  </w:pPr>
                  <w:r>
                    <w:rPr>
                      <w:rFonts w:hint="default" w:ascii="Times New Roman" w:hAnsi="Times New Roman" w:cs="Times New Roman"/>
                      <w:color w:val="FF0000"/>
                      <w:szCs w:val="21"/>
                      <w:lang w:val="en-US" w:eastAsia="zh-CN"/>
                    </w:rPr>
                    <w:t>75m</w:t>
                  </w:r>
                </w:p>
              </w:tc>
              <w:tc>
                <w:tcPr>
                  <w:tcW w:w="415" w:type="pct"/>
                  <w:vAlign w:val="center"/>
                </w:tcPr>
                <w:p>
                  <w:pPr>
                    <w:jc w:val="center"/>
                    <w:rPr>
                      <w:rFonts w:hint="default" w:ascii="Times New Roman" w:hAnsi="Times New Roman" w:cs="Times New Roman"/>
                      <w:color w:val="FF0000"/>
                      <w:szCs w:val="21"/>
                      <w:lang w:val="en-US" w:eastAsia="zh-CN"/>
                    </w:rPr>
                  </w:pPr>
                  <w:r>
                    <w:rPr>
                      <w:rFonts w:hint="default" w:ascii="Times New Roman" w:hAnsi="Times New Roman" w:cs="Times New Roman"/>
                      <w:color w:val="FF0000"/>
                      <w:szCs w:val="21"/>
                      <w:lang w:val="en-US" w:eastAsia="zh-CN"/>
                    </w:rPr>
                    <w:t>40m</w:t>
                  </w:r>
                </w:p>
              </w:tc>
              <w:tc>
                <w:tcPr>
                  <w:tcW w:w="497" w:type="pct"/>
                  <w:vAlign w:val="center"/>
                </w:tcPr>
                <w:p>
                  <w:pPr>
                    <w:jc w:val="center"/>
                    <w:rPr>
                      <w:rFonts w:hint="default" w:ascii="Times New Roman" w:hAnsi="Times New Roman" w:cs="Times New Roman"/>
                      <w:color w:val="FF0000"/>
                      <w:szCs w:val="21"/>
                      <w:lang w:val="en-US" w:eastAsia="zh-CN"/>
                    </w:rPr>
                  </w:pPr>
                  <w:r>
                    <w:rPr>
                      <w:rFonts w:hint="default" w:ascii="Times New Roman" w:hAnsi="Times New Roman" w:cs="Times New Roman"/>
                      <w:color w:val="FF0000"/>
                      <w:szCs w:val="21"/>
                      <w:lang w:val="en-US" w:eastAsia="zh-CN"/>
                    </w:rPr>
                    <w:t>10m</w:t>
                  </w:r>
                </w:p>
              </w:tc>
              <w:tc>
                <w:tcPr>
                  <w:tcW w:w="487" w:type="pct"/>
                  <w:vAlign w:val="center"/>
                </w:tcPr>
                <w:p>
                  <w:pPr>
                    <w:jc w:val="center"/>
                    <w:rPr>
                      <w:rFonts w:hint="default" w:ascii="Times New Roman" w:hAnsi="Times New Roman" w:cs="Times New Roman"/>
                      <w:color w:val="FF0000"/>
                      <w:szCs w:val="21"/>
                      <w:lang w:val="en-US" w:eastAsia="zh-CN"/>
                    </w:rPr>
                  </w:pPr>
                  <w:r>
                    <w:rPr>
                      <w:rFonts w:hint="default" w:ascii="Times New Roman" w:hAnsi="Times New Roman" w:cs="Times New Roman"/>
                      <w:color w:val="FF0000"/>
                      <w:szCs w:val="21"/>
                      <w:lang w:val="en-US" w:eastAsia="zh-CN"/>
                    </w:rPr>
                    <w:t>2400</w:t>
                  </w:r>
                </w:p>
              </w:tc>
              <w:tc>
                <w:tcPr>
                  <w:tcW w:w="681" w:type="pct"/>
                  <w:vAlign w:val="center"/>
                </w:tcPr>
                <w:p>
                  <w:pPr>
                    <w:jc w:val="center"/>
                    <w:rPr>
                      <w:rFonts w:hint="default" w:ascii="Times New Roman" w:hAnsi="Times New Roman" w:eastAsia="宋体" w:cs="Times New Roman"/>
                      <w:color w:val="FF0000"/>
                      <w:kern w:val="0"/>
                      <w:szCs w:val="21"/>
                      <w:lang w:eastAsia="zh-CN"/>
                    </w:rPr>
                  </w:pPr>
                  <w:r>
                    <w:rPr>
                      <w:rFonts w:hint="default" w:ascii="Times New Roman" w:hAnsi="Times New Roman" w:cs="Times New Roman"/>
                      <w:color w:val="FF0000"/>
                      <w:kern w:val="0"/>
                      <w:szCs w:val="21"/>
                      <w:lang w:val="en-US" w:eastAsia="zh-CN"/>
                    </w:rPr>
                    <w:t>颗粒物</w:t>
                  </w:r>
                </w:p>
              </w:tc>
              <w:tc>
                <w:tcPr>
                  <w:tcW w:w="540" w:type="pct"/>
                  <w:vAlign w:val="center"/>
                </w:tcPr>
                <w:p>
                  <w:pPr>
                    <w:jc w:val="center"/>
                    <w:rPr>
                      <w:rFonts w:hint="default" w:ascii="Times New Roman" w:hAnsi="Times New Roman" w:eastAsia="宋体" w:cs="Times New Roman"/>
                      <w:color w:val="FF0000"/>
                      <w:szCs w:val="21"/>
                      <w:lang w:val="en-US" w:eastAsia="zh-CN"/>
                    </w:rPr>
                  </w:pPr>
                  <w:r>
                    <w:rPr>
                      <w:rFonts w:hint="default" w:ascii="Times New Roman" w:hAnsi="Times New Roman" w:cs="Times New Roman"/>
                      <w:color w:val="FF0000"/>
                      <w:szCs w:val="21"/>
                      <w:lang w:val="en-US" w:eastAsia="zh-CN"/>
                    </w:rPr>
                    <w:t>0.021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12" w:type="pct"/>
                  <w:vAlign w:val="center"/>
                </w:tcPr>
                <w:p>
                  <w:pPr>
                    <w:jc w:val="center"/>
                    <w:rPr>
                      <w:rFonts w:hint="default" w:ascii="Times New Roman" w:hAnsi="Times New Roman" w:cs="Times New Roman"/>
                      <w:color w:val="FF0000"/>
                      <w:szCs w:val="21"/>
                      <w:lang w:val="en-US" w:eastAsia="zh-CN"/>
                    </w:rPr>
                  </w:pPr>
                  <w:r>
                    <w:rPr>
                      <w:rFonts w:hint="default" w:ascii="Times New Roman" w:hAnsi="Times New Roman" w:cs="Times New Roman"/>
                      <w:color w:val="FF0000"/>
                      <w:szCs w:val="21"/>
                      <w:lang w:val="en-US" w:eastAsia="zh-CN"/>
                    </w:rPr>
                    <w:t>厂房四</w:t>
                  </w:r>
                </w:p>
              </w:tc>
              <w:tc>
                <w:tcPr>
                  <w:tcW w:w="738" w:type="pct"/>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FF0000"/>
                      <w:szCs w:val="21"/>
                    </w:rPr>
                    <w:t>119.922091</w:t>
                  </w:r>
                </w:p>
              </w:tc>
              <w:tc>
                <w:tcPr>
                  <w:tcW w:w="759" w:type="pct"/>
                  <w:vAlign w:val="center"/>
                </w:tcPr>
                <w:p>
                  <w:pPr>
                    <w:pStyle w:val="16"/>
                    <w:spacing w:before="0" w:after="0" w:line="240" w:lineRule="auto"/>
                    <w:ind w:right="113" w:rightChars="0"/>
                    <w:jc w:val="center"/>
                    <w:rPr>
                      <w:rFonts w:hint="default" w:ascii="Times New Roman" w:hAnsi="Times New Roman" w:cs="Times New Roman"/>
                      <w:color w:val="FF0000"/>
                      <w:sz w:val="21"/>
                      <w:szCs w:val="21"/>
                    </w:rPr>
                  </w:pPr>
                  <w:r>
                    <w:rPr>
                      <w:rFonts w:hint="default" w:ascii="Times New Roman" w:hAnsi="Times New Roman" w:cs="Times New Roman"/>
                      <w:color w:val="FF0000"/>
                      <w:sz w:val="21"/>
                      <w:szCs w:val="21"/>
                    </w:rPr>
                    <w:t>32.351735</w:t>
                  </w:r>
                </w:p>
              </w:tc>
              <w:tc>
                <w:tcPr>
                  <w:tcW w:w="366" w:type="pct"/>
                  <w:vAlign w:val="center"/>
                </w:tcPr>
                <w:p>
                  <w:pPr>
                    <w:jc w:val="center"/>
                    <w:rPr>
                      <w:rFonts w:hint="default" w:ascii="Times New Roman" w:hAnsi="Times New Roman" w:cs="Times New Roman"/>
                      <w:color w:val="FF0000"/>
                      <w:szCs w:val="21"/>
                      <w:lang w:val="en-US" w:eastAsia="zh-CN"/>
                    </w:rPr>
                  </w:pPr>
                  <w:r>
                    <w:rPr>
                      <w:rFonts w:hint="default" w:ascii="Times New Roman" w:hAnsi="Times New Roman" w:cs="Times New Roman"/>
                      <w:color w:val="FF0000"/>
                      <w:szCs w:val="21"/>
                      <w:lang w:val="en-US" w:eastAsia="zh-CN"/>
                    </w:rPr>
                    <w:t>80m</w:t>
                  </w:r>
                </w:p>
              </w:tc>
              <w:tc>
                <w:tcPr>
                  <w:tcW w:w="415" w:type="pct"/>
                  <w:vAlign w:val="center"/>
                </w:tcPr>
                <w:p>
                  <w:pPr>
                    <w:jc w:val="center"/>
                    <w:rPr>
                      <w:rFonts w:hint="default" w:ascii="Times New Roman" w:hAnsi="Times New Roman" w:cs="Times New Roman"/>
                      <w:color w:val="FF0000"/>
                      <w:szCs w:val="21"/>
                      <w:lang w:val="en-US" w:eastAsia="zh-CN"/>
                    </w:rPr>
                  </w:pPr>
                  <w:r>
                    <w:rPr>
                      <w:rFonts w:hint="default" w:ascii="Times New Roman" w:hAnsi="Times New Roman" w:cs="Times New Roman"/>
                      <w:color w:val="FF0000"/>
                      <w:szCs w:val="21"/>
                      <w:lang w:val="en-US" w:eastAsia="zh-CN"/>
                    </w:rPr>
                    <w:t>60m</w:t>
                  </w:r>
                </w:p>
              </w:tc>
              <w:tc>
                <w:tcPr>
                  <w:tcW w:w="497" w:type="pct"/>
                  <w:vAlign w:val="center"/>
                </w:tcPr>
                <w:p>
                  <w:pPr>
                    <w:jc w:val="center"/>
                    <w:rPr>
                      <w:rFonts w:hint="default" w:ascii="Times New Roman" w:hAnsi="Times New Roman" w:cs="Times New Roman"/>
                      <w:color w:val="FF0000"/>
                      <w:szCs w:val="21"/>
                      <w:lang w:val="en-US" w:eastAsia="zh-CN"/>
                    </w:rPr>
                  </w:pPr>
                  <w:r>
                    <w:rPr>
                      <w:rFonts w:hint="default" w:ascii="Times New Roman" w:hAnsi="Times New Roman" w:cs="Times New Roman"/>
                      <w:color w:val="FF0000"/>
                      <w:szCs w:val="21"/>
                      <w:lang w:val="en-US" w:eastAsia="zh-CN"/>
                    </w:rPr>
                    <w:t>18m</w:t>
                  </w:r>
                </w:p>
              </w:tc>
              <w:tc>
                <w:tcPr>
                  <w:tcW w:w="487" w:type="pct"/>
                  <w:vAlign w:val="center"/>
                </w:tcPr>
                <w:p>
                  <w:pPr>
                    <w:jc w:val="center"/>
                    <w:rPr>
                      <w:rFonts w:hint="default" w:ascii="Times New Roman" w:hAnsi="Times New Roman" w:cs="Times New Roman"/>
                      <w:color w:val="FF0000"/>
                      <w:szCs w:val="21"/>
                      <w:lang w:val="en-US" w:eastAsia="zh-CN"/>
                    </w:rPr>
                  </w:pPr>
                  <w:r>
                    <w:rPr>
                      <w:rFonts w:hint="default" w:ascii="Times New Roman" w:hAnsi="Times New Roman" w:cs="Times New Roman"/>
                      <w:color w:val="FF0000"/>
                      <w:szCs w:val="21"/>
                      <w:lang w:val="en-US" w:eastAsia="zh-CN"/>
                    </w:rPr>
                    <w:t>2400</w:t>
                  </w:r>
                </w:p>
              </w:tc>
              <w:tc>
                <w:tcPr>
                  <w:tcW w:w="681" w:type="pct"/>
                  <w:vAlign w:val="center"/>
                </w:tcPr>
                <w:p>
                  <w:pPr>
                    <w:jc w:val="center"/>
                    <w:rPr>
                      <w:rFonts w:hint="default" w:ascii="Times New Roman" w:hAnsi="Times New Roman" w:cs="Times New Roman"/>
                      <w:color w:val="FF0000"/>
                      <w:kern w:val="0"/>
                      <w:szCs w:val="21"/>
                      <w:lang w:val="en-US" w:eastAsia="zh-CN"/>
                    </w:rPr>
                  </w:pPr>
                  <w:r>
                    <w:rPr>
                      <w:rFonts w:hint="default" w:ascii="Times New Roman" w:hAnsi="Times New Roman" w:cs="Times New Roman"/>
                      <w:color w:val="FF0000"/>
                      <w:kern w:val="0"/>
                      <w:szCs w:val="21"/>
                    </w:rPr>
                    <w:t>非甲烷总烃</w:t>
                  </w:r>
                </w:p>
              </w:tc>
              <w:tc>
                <w:tcPr>
                  <w:tcW w:w="540" w:type="pct"/>
                  <w:vAlign w:val="center"/>
                </w:tcPr>
                <w:p>
                  <w:pPr>
                    <w:jc w:val="center"/>
                    <w:rPr>
                      <w:rFonts w:hint="default" w:ascii="Times New Roman" w:hAnsi="Times New Roman" w:eastAsia="宋体" w:cs="Times New Roman"/>
                      <w:color w:val="FF0000"/>
                      <w:szCs w:val="21"/>
                      <w:lang w:val="en-US" w:eastAsia="zh-CN"/>
                    </w:rPr>
                  </w:pPr>
                  <w:r>
                    <w:rPr>
                      <w:rFonts w:hint="default" w:ascii="Times New Roman" w:hAnsi="Times New Roman" w:cs="Times New Roman"/>
                      <w:color w:val="FF0000"/>
                      <w:szCs w:val="21"/>
                      <w:lang w:val="en-US" w:eastAsia="zh-CN"/>
                    </w:rPr>
                    <w:t>0.00512</w:t>
                  </w: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ind w:firstLine="371" w:firstLineChars="176"/>
              <w:jc w:val="center"/>
              <w:textAlignment w:val="auto"/>
              <w:rPr>
                <w:b/>
                <w:bCs/>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371" w:firstLineChars="176"/>
              <w:jc w:val="center"/>
              <w:textAlignment w:val="auto"/>
              <w:rPr>
                <w:b/>
                <w:bCs/>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371" w:firstLineChars="176"/>
              <w:jc w:val="center"/>
              <w:textAlignment w:val="auto"/>
              <w:rPr>
                <w:b/>
                <w:bCs/>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371" w:firstLineChars="176"/>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表4-4非正常排放情况一览表</w:t>
            </w:r>
          </w:p>
          <w:tbl>
            <w:tblPr>
              <w:tblStyle w:val="82"/>
              <w:tblW w:w="4997"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529"/>
              <w:gridCol w:w="1711"/>
              <w:gridCol w:w="1418"/>
              <w:gridCol w:w="1661"/>
              <w:gridCol w:w="1238"/>
              <w:gridCol w:w="100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93"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非正常排放源</w:t>
                  </w:r>
                </w:p>
              </w:tc>
              <w:tc>
                <w:tcPr>
                  <w:tcW w:w="998"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非正常排放原因</w:t>
                  </w:r>
                </w:p>
              </w:tc>
              <w:tc>
                <w:tcPr>
                  <w:tcW w:w="82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污染物</w:t>
                  </w:r>
                </w:p>
              </w:tc>
              <w:tc>
                <w:tcPr>
                  <w:tcW w:w="969"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非正常排放速率</w:t>
                  </w:r>
                </w:p>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（kg/h）</w:t>
                  </w:r>
                </w:p>
              </w:tc>
              <w:tc>
                <w:tcPr>
                  <w:tcW w:w="72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单次持续时间（h）</w:t>
                  </w:r>
                </w:p>
              </w:tc>
              <w:tc>
                <w:tcPr>
                  <w:tcW w:w="58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both"/>
                    <w:textAlignment w:val="auto"/>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eastAsia="宋体" w:cs="Times New Roman"/>
                      <w:b/>
                      <w:bCs/>
                      <w:color w:val="FF0000"/>
                      <w:sz w:val="21"/>
                      <w:szCs w:val="21"/>
                      <w:highlight w:val="none"/>
                      <w:lang w:val="en-US" w:eastAsia="zh-CN"/>
                    </w:rPr>
                    <w:t>年发生频次（次）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93"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喷塑固化</w:t>
                  </w:r>
                  <w:r>
                    <w:rPr>
                      <w:rFonts w:hint="default" w:ascii="Times New Roman" w:hAnsi="Times New Roman" w:eastAsia="宋体" w:cs="Times New Roman"/>
                      <w:color w:val="FF0000"/>
                      <w:sz w:val="21"/>
                      <w:szCs w:val="21"/>
                      <w:highlight w:val="none"/>
                      <w:lang w:val="en-US" w:eastAsia="zh-CN"/>
                    </w:rPr>
                    <w:t>车间</w:t>
                  </w:r>
                </w:p>
              </w:tc>
              <w:tc>
                <w:tcPr>
                  <w:tcW w:w="998"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废气处理设施</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故障</w:t>
                  </w:r>
                </w:p>
              </w:tc>
              <w:tc>
                <w:tcPr>
                  <w:tcW w:w="82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颗粒物</w:t>
                  </w:r>
                </w:p>
              </w:tc>
              <w:tc>
                <w:tcPr>
                  <w:tcW w:w="969"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10</w:t>
                  </w:r>
                </w:p>
              </w:tc>
              <w:tc>
                <w:tcPr>
                  <w:tcW w:w="72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1</w:t>
                  </w:r>
                </w:p>
              </w:tc>
              <w:tc>
                <w:tcPr>
                  <w:tcW w:w="58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93"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喷塑固化</w:t>
                  </w:r>
                  <w:r>
                    <w:rPr>
                      <w:rFonts w:hint="default" w:ascii="Times New Roman" w:hAnsi="Times New Roman" w:eastAsia="宋体" w:cs="Times New Roman"/>
                      <w:color w:val="FF0000"/>
                      <w:sz w:val="21"/>
                      <w:szCs w:val="21"/>
                      <w:highlight w:val="none"/>
                      <w:lang w:val="en-US" w:eastAsia="zh-CN"/>
                    </w:rPr>
                    <w:t>车间</w:t>
                  </w:r>
                </w:p>
              </w:tc>
              <w:tc>
                <w:tcPr>
                  <w:tcW w:w="998"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废气处理设施</w:t>
                  </w:r>
                </w:p>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故障</w:t>
                  </w:r>
                </w:p>
              </w:tc>
              <w:tc>
                <w:tcPr>
                  <w:tcW w:w="82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非甲烷总烃</w:t>
                  </w:r>
                </w:p>
              </w:tc>
              <w:tc>
                <w:tcPr>
                  <w:tcW w:w="969"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0.176</w:t>
                  </w:r>
                </w:p>
              </w:tc>
              <w:tc>
                <w:tcPr>
                  <w:tcW w:w="72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1</w:t>
                  </w:r>
                </w:p>
              </w:tc>
              <w:tc>
                <w:tcPr>
                  <w:tcW w:w="58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93"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抛丸</w:t>
                  </w:r>
                  <w:r>
                    <w:rPr>
                      <w:rFonts w:hint="default" w:ascii="Times New Roman" w:hAnsi="Times New Roman" w:eastAsia="宋体" w:cs="Times New Roman"/>
                      <w:color w:val="FF0000"/>
                      <w:sz w:val="21"/>
                      <w:szCs w:val="21"/>
                      <w:highlight w:val="none"/>
                      <w:lang w:val="en-US" w:eastAsia="zh-CN"/>
                    </w:rPr>
                    <w:t>车间</w:t>
                  </w:r>
                </w:p>
              </w:tc>
              <w:tc>
                <w:tcPr>
                  <w:tcW w:w="998"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废气处理设施</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故障</w:t>
                  </w:r>
                </w:p>
              </w:tc>
              <w:tc>
                <w:tcPr>
                  <w:tcW w:w="82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颗粒物</w:t>
                  </w:r>
                </w:p>
              </w:tc>
              <w:tc>
                <w:tcPr>
                  <w:tcW w:w="969"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0.876</w:t>
                  </w:r>
                </w:p>
              </w:tc>
              <w:tc>
                <w:tcPr>
                  <w:tcW w:w="72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1</w:t>
                  </w:r>
                </w:p>
              </w:tc>
              <w:tc>
                <w:tcPr>
                  <w:tcW w:w="58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93"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压铸车间</w:t>
                  </w:r>
                </w:p>
              </w:tc>
              <w:tc>
                <w:tcPr>
                  <w:tcW w:w="998"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废气处理设施</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故障</w:t>
                  </w:r>
                </w:p>
              </w:tc>
              <w:tc>
                <w:tcPr>
                  <w:tcW w:w="82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非甲烷总烃</w:t>
                  </w:r>
                </w:p>
              </w:tc>
              <w:tc>
                <w:tcPr>
                  <w:tcW w:w="969"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0.104</w:t>
                  </w:r>
                </w:p>
              </w:tc>
              <w:tc>
                <w:tcPr>
                  <w:tcW w:w="72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1</w:t>
                  </w:r>
                </w:p>
              </w:tc>
              <w:tc>
                <w:tcPr>
                  <w:tcW w:w="58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93"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压铸车间</w:t>
                  </w:r>
                </w:p>
              </w:tc>
              <w:tc>
                <w:tcPr>
                  <w:tcW w:w="998"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废气处理设施</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故障</w:t>
                  </w:r>
                </w:p>
              </w:tc>
              <w:tc>
                <w:tcPr>
                  <w:tcW w:w="82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颗粒物</w:t>
                  </w:r>
                </w:p>
              </w:tc>
              <w:tc>
                <w:tcPr>
                  <w:tcW w:w="969"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0.0394</w:t>
                  </w:r>
                </w:p>
              </w:tc>
              <w:tc>
                <w:tcPr>
                  <w:tcW w:w="72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1</w:t>
                  </w:r>
                </w:p>
              </w:tc>
              <w:tc>
                <w:tcPr>
                  <w:tcW w:w="58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93"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挤管、热粘车间</w:t>
                  </w:r>
                </w:p>
              </w:tc>
              <w:tc>
                <w:tcPr>
                  <w:tcW w:w="998"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废气处理设施</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故障</w:t>
                  </w:r>
                </w:p>
              </w:tc>
              <w:tc>
                <w:tcPr>
                  <w:tcW w:w="82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非甲烷总烃</w:t>
                  </w:r>
                </w:p>
              </w:tc>
              <w:tc>
                <w:tcPr>
                  <w:tcW w:w="969"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0.012</w:t>
                  </w:r>
                </w:p>
              </w:tc>
              <w:tc>
                <w:tcPr>
                  <w:tcW w:w="72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1</w:t>
                  </w:r>
                </w:p>
              </w:tc>
              <w:tc>
                <w:tcPr>
                  <w:tcW w:w="58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1</w:t>
                  </w:r>
                </w:p>
              </w:tc>
            </w:tr>
          </w:tbl>
          <w:p>
            <w:pPr>
              <w:widowControl/>
              <w:adjustRightInd w:val="0"/>
              <w:snapToGrid w:val="0"/>
              <w:spacing w:line="500" w:lineRule="exact"/>
              <w:ind w:firstLine="482" w:firstLineChars="200"/>
              <w:rPr>
                <w:b/>
                <w:bCs/>
                <w:sz w:val="24"/>
              </w:rPr>
            </w:pPr>
            <w:r>
              <w:rPr>
                <w:rFonts w:hint="eastAsia"/>
                <w:b/>
                <w:bCs/>
                <w:sz w:val="24"/>
              </w:rPr>
              <w:t>（3）</w:t>
            </w:r>
            <w:r>
              <w:rPr>
                <w:b/>
                <w:bCs/>
                <w:sz w:val="24"/>
              </w:rPr>
              <w:t>大气监测方案</w:t>
            </w:r>
          </w:p>
          <w:p>
            <w:pPr>
              <w:pStyle w:val="60"/>
              <w:adjustRightInd w:val="0"/>
              <w:snapToGrid w:val="0"/>
              <w:spacing w:line="500" w:lineRule="exact"/>
              <w:ind w:firstLine="480" w:firstLineChars="200"/>
              <w:rPr>
                <w:sz w:val="24"/>
              </w:rPr>
            </w:pPr>
            <w:r>
              <w:rPr>
                <w:sz w:val="24"/>
              </w:rPr>
              <w:t>大气污染物有关废气污染源监测点、监测项目及监测频次见下表。</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371" w:firstLineChars="176"/>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表4-5废气自行监测计划一览表</w:t>
            </w:r>
          </w:p>
          <w:tbl>
            <w:tblPr>
              <w:tblStyle w:val="33"/>
              <w:tblW w:w="854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015"/>
              <w:gridCol w:w="2548"/>
              <w:gridCol w:w="888"/>
              <w:gridCol w:w="30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8" w:hRule="atLeast"/>
                <w:jc w:val="center"/>
              </w:trPr>
              <w:tc>
                <w:tcPr>
                  <w:tcW w:w="8548" w:type="dxa"/>
                  <w:gridSpan w:val="4"/>
                  <w:vAlign w:val="center"/>
                </w:tcPr>
                <w:p>
                  <w:pPr>
                    <w:widowControl/>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有组织排放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015" w:type="dxa"/>
                  <w:vAlign w:val="center"/>
                </w:tcPr>
                <w:p>
                  <w:pPr>
                    <w:widowControl/>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监测点位</w:t>
                  </w:r>
                </w:p>
              </w:tc>
              <w:tc>
                <w:tcPr>
                  <w:tcW w:w="2548" w:type="dxa"/>
                  <w:vAlign w:val="center"/>
                </w:tcPr>
                <w:p>
                  <w:pPr>
                    <w:widowControl/>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监测指标</w:t>
                  </w:r>
                </w:p>
              </w:tc>
              <w:tc>
                <w:tcPr>
                  <w:tcW w:w="888" w:type="dxa"/>
                  <w:vAlign w:val="center"/>
                </w:tcPr>
                <w:p>
                  <w:pPr>
                    <w:widowControl/>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监测频次</w:t>
                  </w:r>
                </w:p>
              </w:tc>
              <w:tc>
                <w:tcPr>
                  <w:tcW w:w="3097" w:type="dxa"/>
                  <w:vAlign w:val="center"/>
                </w:tcPr>
                <w:p>
                  <w:pPr>
                    <w:widowControl/>
                    <w:snapToGrid w:val="0"/>
                    <w:jc w:val="center"/>
                    <w:rPr>
                      <w:b/>
                      <w:bCs/>
                      <w:color w:val="000000" w:themeColor="text1"/>
                      <w:kern w:val="0"/>
                      <w:szCs w:val="21"/>
                      <w14:textFill>
                        <w14:solidFill>
                          <w14:schemeClr w14:val="tx1"/>
                        </w14:solidFill>
                      </w14:textFill>
                    </w:rPr>
                  </w:pPr>
                  <w:r>
                    <w:rPr>
                      <w:b/>
                      <w:bCs/>
                      <w:color w:val="000000" w:themeColor="text1"/>
                      <w:szCs w:val="21"/>
                      <w14:textFill>
                        <w14:solidFill>
                          <w14:schemeClr w14:val="tx1"/>
                        </w14:solidFill>
                      </w14:textFill>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7" w:hRule="atLeast"/>
                <w:jc w:val="center"/>
              </w:trPr>
              <w:tc>
                <w:tcPr>
                  <w:tcW w:w="2015"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DA001</w:t>
                  </w:r>
                  <w:r>
                    <w:rPr>
                      <w:color w:val="000000" w:themeColor="text1"/>
                      <w:kern w:val="0"/>
                      <w:szCs w:val="21"/>
                      <w14:textFill>
                        <w14:solidFill>
                          <w14:schemeClr w14:val="tx1"/>
                        </w14:solidFill>
                      </w14:textFill>
                    </w:rPr>
                    <w:t>排气筒</w:t>
                  </w:r>
                </w:p>
              </w:tc>
              <w:tc>
                <w:tcPr>
                  <w:tcW w:w="2548"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颗粒物</w:t>
                  </w:r>
                </w:p>
              </w:tc>
              <w:tc>
                <w:tcPr>
                  <w:tcW w:w="888" w:type="dxa"/>
                  <w:vMerge w:val="restart"/>
                  <w:vAlign w:val="center"/>
                </w:tcPr>
                <w:p>
                  <w:pPr>
                    <w:widowControl/>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1次</w:t>
                  </w:r>
                  <w:r>
                    <w:rPr>
                      <w:i/>
                      <w:iCs/>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年</w:t>
                  </w:r>
                </w:p>
              </w:tc>
              <w:tc>
                <w:tcPr>
                  <w:tcW w:w="3097" w:type="dxa"/>
                  <w:vMerge w:val="restart"/>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《铸造工业大气污染物排放标准》（GB39726-2020）中表1、《合成树脂工业污染物排放标准》（GB31572-2015）中表4、</w:t>
                  </w:r>
                  <w:r>
                    <w:rPr>
                      <w:color w:val="000000" w:themeColor="text1"/>
                      <w:kern w:val="0"/>
                      <w:szCs w:val="21"/>
                      <w14:textFill>
                        <w14:solidFill>
                          <w14:schemeClr w14:val="tx1"/>
                        </w14:solidFill>
                      </w14:textFill>
                    </w:rPr>
                    <w:t>江苏省《大气污染物综合排放标准》</w:t>
                  </w:r>
                  <w:r>
                    <w:rPr>
                      <w:color w:val="000000" w:themeColor="text1"/>
                      <w:szCs w:val="21"/>
                      <w14:textFill>
                        <w14:solidFill>
                          <w14:schemeClr w14:val="tx1"/>
                        </w14:solidFill>
                      </w14:textFill>
                    </w:rPr>
                    <w:t>（DB32/4041-2021）表1标准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7" w:hRule="atLeast"/>
                <w:jc w:val="center"/>
              </w:trPr>
              <w:tc>
                <w:tcPr>
                  <w:tcW w:w="2015"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DA002</w:t>
                  </w:r>
                  <w:r>
                    <w:rPr>
                      <w:color w:val="000000" w:themeColor="text1"/>
                      <w:kern w:val="0"/>
                      <w:szCs w:val="21"/>
                      <w14:textFill>
                        <w14:solidFill>
                          <w14:schemeClr w14:val="tx1"/>
                        </w14:solidFill>
                      </w14:textFill>
                    </w:rPr>
                    <w:t>排气筒</w:t>
                  </w:r>
                </w:p>
              </w:tc>
              <w:tc>
                <w:tcPr>
                  <w:tcW w:w="2548"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非甲烷总烃</w:t>
                  </w:r>
                </w:p>
              </w:tc>
              <w:tc>
                <w:tcPr>
                  <w:tcW w:w="888" w:type="dxa"/>
                  <w:vMerge w:val="continue"/>
                  <w:vAlign w:val="center"/>
                </w:tcPr>
                <w:p>
                  <w:pPr>
                    <w:widowControl/>
                    <w:snapToGrid w:val="0"/>
                    <w:jc w:val="center"/>
                    <w:rPr>
                      <w:color w:val="000000" w:themeColor="text1"/>
                      <w:kern w:val="0"/>
                      <w:szCs w:val="21"/>
                      <w14:textFill>
                        <w14:solidFill>
                          <w14:schemeClr w14:val="tx1"/>
                        </w14:solidFill>
                      </w14:textFill>
                    </w:rPr>
                  </w:pPr>
                </w:p>
              </w:tc>
              <w:tc>
                <w:tcPr>
                  <w:tcW w:w="3097" w:type="dxa"/>
                  <w:vMerge w:val="continue"/>
                  <w:vAlign w:val="center"/>
                </w:tcPr>
                <w:p>
                  <w:pPr>
                    <w:widowControl/>
                    <w:snapToGrid w:val="0"/>
                    <w:jc w:val="center"/>
                    <w:rPr>
                      <w:color w:val="000000" w:themeColor="text1"/>
                      <w:kern w:val="0"/>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7" w:hRule="atLeast"/>
                <w:jc w:val="center"/>
              </w:trPr>
              <w:tc>
                <w:tcPr>
                  <w:tcW w:w="2015"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DA003</w:t>
                  </w:r>
                  <w:r>
                    <w:rPr>
                      <w:color w:val="000000" w:themeColor="text1"/>
                      <w:kern w:val="0"/>
                      <w:szCs w:val="21"/>
                      <w14:textFill>
                        <w14:solidFill>
                          <w14:schemeClr w14:val="tx1"/>
                        </w14:solidFill>
                      </w14:textFill>
                    </w:rPr>
                    <w:t>排气筒</w:t>
                  </w:r>
                </w:p>
              </w:tc>
              <w:tc>
                <w:tcPr>
                  <w:tcW w:w="2548"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颗粒物</w:t>
                  </w:r>
                </w:p>
              </w:tc>
              <w:tc>
                <w:tcPr>
                  <w:tcW w:w="888" w:type="dxa"/>
                  <w:vMerge w:val="continue"/>
                  <w:vAlign w:val="center"/>
                </w:tcPr>
                <w:p>
                  <w:pPr>
                    <w:widowControl/>
                    <w:snapToGrid w:val="0"/>
                    <w:jc w:val="center"/>
                    <w:rPr>
                      <w:color w:val="000000" w:themeColor="text1"/>
                      <w:kern w:val="0"/>
                      <w:szCs w:val="21"/>
                      <w14:textFill>
                        <w14:solidFill>
                          <w14:schemeClr w14:val="tx1"/>
                        </w14:solidFill>
                      </w14:textFill>
                    </w:rPr>
                  </w:pPr>
                </w:p>
              </w:tc>
              <w:tc>
                <w:tcPr>
                  <w:tcW w:w="3097" w:type="dxa"/>
                  <w:vMerge w:val="continue"/>
                  <w:vAlign w:val="center"/>
                </w:tcPr>
                <w:p>
                  <w:pPr>
                    <w:widowControl/>
                    <w:snapToGrid w:val="0"/>
                    <w:jc w:val="center"/>
                    <w:rPr>
                      <w:color w:val="000000" w:themeColor="text1"/>
                      <w:kern w:val="0"/>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7" w:hRule="atLeast"/>
                <w:jc w:val="center"/>
              </w:trPr>
              <w:tc>
                <w:tcPr>
                  <w:tcW w:w="2015"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DA004</w:t>
                  </w:r>
                  <w:r>
                    <w:rPr>
                      <w:color w:val="000000" w:themeColor="text1"/>
                      <w:kern w:val="0"/>
                      <w:szCs w:val="21"/>
                      <w14:textFill>
                        <w14:solidFill>
                          <w14:schemeClr w14:val="tx1"/>
                        </w14:solidFill>
                      </w14:textFill>
                    </w:rPr>
                    <w:t>排气筒</w:t>
                  </w:r>
                </w:p>
              </w:tc>
              <w:tc>
                <w:tcPr>
                  <w:tcW w:w="2548"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颗粒物、非甲烷总烃</w:t>
                  </w:r>
                </w:p>
              </w:tc>
              <w:tc>
                <w:tcPr>
                  <w:tcW w:w="888" w:type="dxa"/>
                  <w:vMerge w:val="continue"/>
                  <w:vAlign w:val="center"/>
                </w:tcPr>
                <w:p>
                  <w:pPr>
                    <w:widowControl/>
                    <w:snapToGrid w:val="0"/>
                    <w:jc w:val="center"/>
                    <w:rPr>
                      <w:color w:val="000000" w:themeColor="text1"/>
                      <w:kern w:val="0"/>
                      <w:szCs w:val="21"/>
                      <w14:textFill>
                        <w14:solidFill>
                          <w14:schemeClr w14:val="tx1"/>
                        </w14:solidFill>
                      </w14:textFill>
                    </w:rPr>
                  </w:pPr>
                </w:p>
              </w:tc>
              <w:tc>
                <w:tcPr>
                  <w:tcW w:w="3097" w:type="dxa"/>
                  <w:vMerge w:val="continue"/>
                  <w:vAlign w:val="center"/>
                </w:tcPr>
                <w:p>
                  <w:pPr>
                    <w:widowControl/>
                    <w:snapToGrid w:val="0"/>
                    <w:jc w:val="center"/>
                    <w:rPr>
                      <w:color w:val="000000" w:themeColor="text1"/>
                      <w:kern w:val="0"/>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7" w:hRule="atLeast"/>
                <w:jc w:val="center"/>
              </w:trPr>
              <w:tc>
                <w:tcPr>
                  <w:tcW w:w="2015"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DA005</w:t>
                  </w:r>
                  <w:r>
                    <w:rPr>
                      <w:color w:val="000000" w:themeColor="text1"/>
                      <w:kern w:val="0"/>
                      <w:szCs w:val="21"/>
                      <w14:textFill>
                        <w14:solidFill>
                          <w14:schemeClr w14:val="tx1"/>
                        </w14:solidFill>
                      </w14:textFill>
                    </w:rPr>
                    <w:t>排气筒</w:t>
                  </w:r>
                </w:p>
              </w:tc>
              <w:tc>
                <w:tcPr>
                  <w:tcW w:w="2548"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非甲烷总烃</w:t>
                  </w:r>
                </w:p>
              </w:tc>
              <w:tc>
                <w:tcPr>
                  <w:tcW w:w="888" w:type="dxa"/>
                  <w:vMerge w:val="continue"/>
                  <w:vAlign w:val="center"/>
                </w:tcPr>
                <w:p>
                  <w:pPr>
                    <w:widowControl/>
                    <w:snapToGrid w:val="0"/>
                    <w:jc w:val="center"/>
                    <w:rPr>
                      <w:color w:val="000000" w:themeColor="text1"/>
                      <w:kern w:val="0"/>
                      <w:szCs w:val="21"/>
                      <w14:textFill>
                        <w14:solidFill>
                          <w14:schemeClr w14:val="tx1"/>
                        </w14:solidFill>
                      </w14:textFill>
                    </w:rPr>
                  </w:pPr>
                </w:p>
              </w:tc>
              <w:tc>
                <w:tcPr>
                  <w:tcW w:w="3097" w:type="dxa"/>
                  <w:vMerge w:val="continue"/>
                  <w:vAlign w:val="center"/>
                </w:tcPr>
                <w:p>
                  <w:pPr>
                    <w:widowControl/>
                    <w:snapToGrid w:val="0"/>
                    <w:jc w:val="center"/>
                    <w:rPr>
                      <w:color w:val="000000" w:themeColor="text1"/>
                      <w:kern w:val="0"/>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2015"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DA006</w:t>
                  </w:r>
                  <w:r>
                    <w:rPr>
                      <w:color w:val="000000" w:themeColor="text1"/>
                      <w:kern w:val="0"/>
                      <w:szCs w:val="21"/>
                      <w14:textFill>
                        <w14:solidFill>
                          <w14:schemeClr w14:val="tx1"/>
                        </w14:solidFill>
                      </w14:textFill>
                    </w:rPr>
                    <w:t>排气筒</w:t>
                  </w:r>
                </w:p>
              </w:tc>
              <w:tc>
                <w:tcPr>
                  <w:tcW w:w="2548"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非甲烷总烃</w:t>
                  </w:r>
                </w:p>
              </w:tc>
              <w:tc>
                <w:tcPr>
                  <w:tcW w:w="888" w:type="dxa"/>
                  <w:vMerge w:val="continue"/>
                  <w:vAlign w:val="center"/>
                </w:tcPr>
                <w:p>
                  <w:pPr>
                    <w:widowControl/>
                    <w:snapToGrid w:val="0"/>
                    <w:jc w:val="center"/>
                    <w:rPr>
                      <w:color w:val="000000" w:themeColor="text1"/>
                      <w:kern w:val="0"/>
                      <w:szCs w:val="21"/>
                      <w14:textFill>
                        <w14:solidFill>
                          <w14:schemeClr w14:val="tx1"/>
                        </w14:solidFill>
                      </w14:textFill>
                    </w:rPr>
                  </w:pPr>
                </w:p>
              </w:tc>
              <w:tc>
                <w:tcPr>
                  <w:tcW w:w="3097" w:type="dxa"/>
                  <w:vMerge w:val="continue"/>
                  <w:vAlign w:val="center"/>
                </w:tcPr>
                <w:p>
                  <w:pPr>
                    <w:widowControl/>
                    <w:snapToGrid w:val="0"/>
                    <w:jc w:val="center"/>
                    <w:rPr>
                      <w:color w:val="000000" w:themeColor="text1"/>
                      <w:kern w:val="0"/>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8548" w:type="dxa"/>
                  <w:gridSpan w:val="4"/>
                  <w:vAlign w:val="center"/>
                </w:tcPr>
                <w:p>
                  <w:pPr>
                    <w:widowControl/>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无组织排放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9" w:hRule="atLeast"/>
                <w:jc w:val="center"/>
              </w:trPr>
              <w:tc>
                <w:tcPr>
                  <w:tcW w:w="2015" w:type="dxa"/>
                  <w:vAlign w:val="center"/>
                </w:tcPr>
                <w:p>
                  <w:pPr>
                    <w:widowControl/>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监测点位</w:t>
                  </w:r>
                </w:p>
              </w:tc>
              <w:tc>
                <w:tcPr>
                  <w:tcW w:w="2548" w:type="dxa"/>
                  <w:vAlign w:val="center"/>
                </w:tcPr>
                <w:p>
                  <w:pPr>
                    <w:widowControl/>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监测指标</w:t>
                  </w:r>
                </w:p>
              </w:tc>
              <w:tc>
                <w:tcPr>
                  <w:tcW w:w="888" w:type="dxa"/>
                  <w:vAlign w:val="center"/>
                </w:tcPr>
                <w:p>
                  <w:pPr>
                    <w:widowControl/>
                    <w:snapToGrid w:val="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监测频次</w:t>
                  </w:r>
                </w:p>
              </w:tc>
              <w:tc>
                <w:tcPr>
                  <w:tcW w:w="3097" w:type="dxa"/>
                  <w:vAlign w:val="center"/>
                </w:tcPr>
                <w:p>
                  <w:pPr>
                    <w:widowControl/>
                    <w:snapToGrid w:val="0"/>
                    <w:jc w:val="center"/>
                    <w:rPr>
                      <w:b/>
                      <w:bCs/>
                      <w:color w:val="000000" w:themeColor="text1"/>
                      <w:kern w:val="0"/>
                      <w:szCs w:val="21"/>
                      <w14:textFill>
                        <w14:solidFill>
                          <w14:schemeClr w14:val="tx1"/>
                        </w14:solidFill>
                      </w14:textFill>
                    </w:rPr>
                  </w:pPr>
                  <w:r>
                    <w:rPr>
                      <w:b/>
                      <w:bCs/>
                      <w:color w:val="000000" w:themeColor="text1"/>
                      <w:szCs w:val="21"/>
                      <w14:textFill>
                        <w14:solidFill>
                          <w14:schemeClr w14:val="tx1"/>
                        </w14:solidFill>
                      </w14:textFill>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51" w:hRule="atLeast"/>
                <w:jc w:val="center"/>
              </w:trPr>
              <w:tc>
                <w:tcPr>
                  <w:tcW w:w="2015" w:type="dxa"/>
                  <w:noWrap/>
                  <w:vAlign w:val="center"/>
                </w:tcPr>
                <w:p>
                  <w:pPr>
                    <w:widowControl/>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厂区内</w:t>
                  </w:r>
                </w:p>
              </w:tc>
              <w:tc>
                <w:tcPr>
                  <w:tcW w:w="2548" w:type="dxa"/>
                  <w:noWrap/>
                  <w:vAlign w:val="center"/>
                </w:tcPr>
                <w:p>
                  <w:pPr>
                    <w:widowControl/>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非甲烷总烃</w:t>
                  </w:r>
                  <w:r>
                    <w:rPr>
                      <w:rFonts w:hint="eastAsia"/>
                      <w:color w:val="000000" w:themeColor="text1"/>
                      <w:kern w:val="0"/>
                      <w:szCs w:val="21"/>
                      <w14:textFill>
                        <w14:solidFill>
                          <w14:schemeClr w14:val="tx1"/>
                        </w14:solidFill>
                      </w14:textFill>
                    </w:rPr>
                    <w:t>、颗粒物</w:t>
                  </w:r>
                </w:p>
              </w:tc>
              <w:tc>
                <w:tcPr>
                  <w:tcW w:w="888" w:type="dxa"/>
                  <w:vAlign w:val="center"/>
                </w:tcPr>
                <w:p>
                  <w:pPr>
                    <w:widowControl/>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1次</w:t>
                  </w:r>
                  <w:r>
                    <w:rPr>
                      <w:i/>
                      <w:iCs/>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年</w:t>
                  </w:r>
                </w:p>
              </w:tc>
              <w:tc>
                <w:tcPr>
                  <w:tcW w:w="3097"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《铸造工业大气污染物排放标准》（GB39726-2020）附录A中表A.1、</w:t>
                  </w:r>
                  <w:r>
                    <w:rPr>
                      <w:color w:val="000000" w:themeColor="text1"/>
                      <w:kern w:val="0"/>
                      <w:szCs w:val="21"/>
                      <w14:textFill>
                        <w14:solidFill>
                          <w14:schemeClr w14:val="tx1"/>
                        </w14:solidFill>
                      </w14:textFill>
                    </w:rPr>
                    <w:t>江苏省《大气污染物综合排放标准》</w:t>
                  </w:r>
                  <w:r>
                    <w:rPr>
                      <w:color w:val="000000" w:themeColor="text1"/>
                      <w:szCs w:val="21"/>
                      <w14:textFill>
                        <w14:solidFill>
                          <w14:schemeClr w14:val="tx1"/>
                        </w14:solidFill>
                      </w14:textFill>
                    </w:rPr>
                    <w:t>（DB32/4041-2021）</w:t>
                  </w:r>
                  <w:r>
                    <w:rPr>
                      <w:rFonts w:hint="eastAsia"/>
                      <w:color w:val="000000" w:themeColor="text1"/>
                      <w:szCs w:val="21"/>
                      <w14:textFill>
                        <w14:solidFill>
                          <w14:schemeClr w14:val="tx1"/>
                        </w14:solidFill>
                      </w14:textFill>
                    </w:rPr>
                    <w:t>表2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92" w:hRule="atLeast"/>
                <w:jc w:val="center"/>
              </w:trPr>
              <w:tc>
                <w:tcPr>
                  <w:tcW w:w="2015" w:type="dxa"/>
                  <w:vAlign w:val="center"/>
                </w:tcPr>
                <w:p>
                  <w:pPr>
                    <w:widowControl/>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厂界（上风向1个点、下风向3个点）</w:t>
                  </w:r>
                </w:p>
              </w:tc>
              <w:tc>
                <w:tcPr>
                  <w:tcW w:w="2548" w:type="dxa"/>
                  <w:noWrap/>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颗粒物、</w:t>
                  </w:r>
                  <w:r>
                    <w:rPr>
                      <w:color w:val="000000" w:themeColor="text1"/>
                      <w:kern w:val="0"/>
                      <w:szCs w:val="21"/>
                      <w14:textFill>
                        <w14:solidFill>
                          <w14:schemeClr w14:val="tx1"/>
                        </w14:solidFill>
                      </w14:textFill>
                    </w:rPr>
                    <w:t>非甲烷总烃</w:t>
                  </w:r>
                </w:p>
              </w:tc>
              <w:tc>
                <w:tcPr>
                  <w:tcW w:w="888" w:type="dxa"/>
                  <w:vAlign w:val="center"/>
                </w:tcPr>
                <w:p>
                  <w:pPr>
                    <w:widowControl/>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1次</w:t>
                  </w:r>
                  <w:r>
                    <w:rPr>
                      <w:i/>
                      <w:iCs/>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年</w:t>
                  </w:r>
                </w:p>
              </w:tc>
              <w:tc>
                <w:tcPr>
                  <w:tcW w:w="3097" w:type="dxa"/>
                  <w:vAlign w:val="center"/>
                </w:tcPr>
                <w:p>
                  <w:pPr>
                    <w:widowControl/>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江苏省《大气污染物综合排放标准》</w:t>
                  </w:r>
                  <w:r>
                    <w:rPr>
                      <w:color w:val="000000" w:themeColor="text1"/>
                      <w:szCs w:val="21"/>
                      <w14:textFill>
                        <w14:solidFill>
                          <w14:schemeClr w14:val="tx1"/>
                        </w14:solidFill>
                      </w14:textFill>
                    </w:rPr>
                    <w:t>（DB32/4041-2021）</w:t>
                  </w:r>
                  <w:r>
                    <w:rPr>
                      <w:rFonts w:hint="eastAsia"/>
                      <w:color w:val="000000" w:themeColor="text1"/>
                      <w:szCs w:val="21"/>
                      <w14:textFill>
                        <w14:solidFill>
                          <w14:schemeClr w14:val="tx1"/>
                        </w14:solidFill>
                      </w14:textFill>
                    </w:rPr>
                    <w:t>表3</w:t>
                  </w:r>
                </w:p>
              </w:tc>
            </w:tr>
          </w:tbl>
          <w:p>
            <w:pPr>
              <w:pStyle w:val="16"/>
              <w:widowControl w:val="0"/>
              <w:snapToGrid/>
              <w:spacing w:before="0" w:after="0" w:line="500" w:lineRule="exact"/>
              <w:ind w:right="0" w:firstLine="482" w:firstLineChars="200"/>
              <w:rPr>
                <w:b/>
                <w:sz w:val="24"/>
                <w:szCs w:val="24"/>
              </w:rPr>
            </w:pPr>
            <w:r>
              <w:rPr>
                <w:rFonts w:hint="eastAsia"/>
                <w:b/>
                <w:sz w:val="24"/>
                <w:szCs w:val="24"/>
              </w:rPr>
              <w:t>（4）</w:t>
            </w:r>
            <w:r>
              <w:rPr>
                <w:b/>
                <w:sz w:val="24"/>
                <w:szCs w:val="24"/>
              </w:rPr>
              <w:t>废气治理措施</w:t>
            </w:r>
            <w:r>
              <w:rPr>
                <w:rFonts w:hint="eastAsia"/>
                <w:b/>
                <w:sz w:val="24"/>
                <w:szCs w:val="24"/>
              </w:rPr>
              <w:t>及可行性分析</w:t>
            </w:r>
          </w:p>
          <w:p>
            <w:pPr>
              <w:pStyle w:val="16"/>
              <w:keepNext w:val="0"/>
              <w:keepLines w:val="0"/>
              <w:pageBreakBefore w:val="0"/>
              <w:widowControl w:val="0"/>
              <w:kinsoku/>
              <w:wordWrap/>
              <w:overflowPunct/>
              <w:topLinePunct w:val="0"/>
              <w:autoSpaceDE/>
              <w:autoSpaceDN/>
              <w:bidi w:val="0"/>
              <w:adjustRightInd/>
              <w:snapToGrid/>
              <w:spacing w:before="0" w:after="0" w:line="500" w:lineRule="exact"/>
              <w:ind w:right="0" w:firstLine="480" w:firstLineChars="200"/>
              <w:textAlignment w:val="auto"/>
              <w:rPr>
                <w:sz w:val="24"/>
                <w:szCs w:val="24"/>
              </w:rPr>
            </w:pPr>
            <w:r>
              <w:rPr>
                <w:sz w:val="24"/>
                <w:szCs w:val="24"/>
              </w:rPr>
              <w:t>本项目有机废气通过</w:t>
            </w:r>
            <w:r>
              <w:rPr>
                <w:rFonts w:hint="eastAsia"/>
                <w:sz w:val="24"/>
                <w:szCs w:val="24"/>
              </w:rPr>
              <w:t>集气罩</w:t>
            </w:r>
            <w:r>
              <w:rPr>
                <w:sz w:val="24"/>
                <w:szCs w:val="24"/>
              </w:rPr>
              <w:t>收集，经</w:t>
            </w:r>
            <w:r>
              <w:rPr>
                <w:rFonts w:hint="eastAsia"/>
                <w:sz w:val="24"/>
                <w:szCs w:val="24"/>
              </w:rPr>
              <w:t>二级</w:t>
            </w:r>
            <w:r>
              <w:rPr>
                <w:sz w:val="24"/>
                <w:szCs w:val="24"/>
              </w:rPr>
              <w:t>活性炭吸附装置处理，最终通过</w:t>
            </w:r>
            <w:r>
              <w:rPr>
                <w:rFonts w:hint="eastAsia"/>
                <w:sz w:val="24"/>
                <w:szCs w:val="24"/>
              </w:rPr>
              <w:t>15m高</w:t>
            </w:r>
            <w:r>
              <w:rPr>
                <w:sz w:val="24"/>
                <w:szCs w:val="24"/>
              </w:rPr>
              <w:t>排气筒高空排放。本项目</w:t>
            </w:r>
            <w:r>
              <w:rPr>
                <w:rFonts w:hint="eastAsia"/>
                <w:sz w:val="24"/>
                <w:szCs w:val="24"/>
              </w:rPr>
              <w:t>二级</w:t>
            </w:r>
            <w:r>
              <w:rPr>
                <w:sz w:val="24"/>
                <w:szCs w:val="24"/>
              </w:rPr>
              <w:t>活性炭吸附处理装置废气处理效率90%，风机风量为10000m</w:t>
            </w:r>
            <w:r>
              <w:rPr>
                <w:sz w:val="24"/>
                <w:szCs w:val="24"/>
                <w:vertAlign w:val="superscript"/>
              </w:rPr>
              <w:t>3</w:t>
            </w:r>
            <w:r>
              <w:rPr>
                <w:sz w:val="24"/>
                <w:szCs w:val="24"/>
              </w:rPr>
              <w:t>/h。</w:t>
            </w:r>
          </w:p>
          <w:p>
            <w:pPr>
              <w:pStyle w:val="68"/>
              <w:keepNext w:val="0"/>
              <w:keepLines w:val="0"/>
              <w:pageBreakBefore w:val="0"/>
              <w:widowControl/>
              <w:kinsoku/>
              <w:wordWrap/>
              <w:overflowPunct/>
              <w:topLinePunct w:val="0"/>
              <w:autoSpaceDE/>
              <w:autoSpaceDN/>
              <w:bidi w:val="0"/>
              <w:adjustRightInd/>
              <w:snapToGrid w:val="0"/>
              <w:spacing w:before="157" w:beforeLines="50" w:after="157" w:afterLines="50" w:line="240" w:lineRule="auto"/>
              <w:ind w:right="0"/>
              <w:textAlignment w:val="auto"/>
              <w:rPr>
                <w:rFonts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ascii="Times New Roman" w:hAnsi="Times New Roman" w:eastAsia="宋体" w:cs="Times New Roman"/>
                <w:b/>
                <w:bCs/>
                <w:color w:val="000000" w:themeColor="text1"/>
                <w:kern w:val="2"/>
                <w:sz w:val="21"/>
                <w:szCs w:val="21"/>
                <w:lang w:val="en-US" w:eastAsia="zh-CN" w:bidi="ar-SA"/>
                <w14:textFill>
                  <w14:solidFill>
                    <w14:schemeClr w14:val="tx1"/>
                  </w14:solidFill>
                </w14:textFill>
              </w:rPr>
              <w:t>表4-</w:t>
            </w: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6</w:t>
            </w:r>
            <w:r>
              <w:rPr>
                <w:rFonts w:ascii="Times New Roman" w:hAnsi="Times New Roman" w:eastAsia="宋体" w:cs="Times New Roman"/>
                <w:b/>
                <w:bCs/>
                <w:color w:val="000000" w:themeColor="text1"/>
                <w:kern w:val="2"/>
                <w:sz w:val="21"/>
                <w:szCs w:val="21"/>
                <w:lang w:val="en-US" w:eastAsia="zh-CN" w:bidi="ar-SA"/>
                <w14:textFill>
                  <w14:solidFill>
                    <w14:schemeClr w14:val="tx1"/>
                  </w14:solidFill>
                </w14:textFill>
              </w:rPr>
              <w:t>废气处理措施评价表</w:t>
            </w:r>
          </w:p>
          <w:tbl>
            <w:tblPr>
              <w:tblStyle w:val="34"/>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54"/>
              <w:gridCol w:w="1281"/>
              <w:gridCol w:w="1707"/>
              <w:gridCol w:w="2066"/>
              <w:gridCol w:w="17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023" w:type="pct"/>
                  <w:tcBorders>
                    <w:tl2br w:val="nil"/>
                    <w:tr2bl w:val="nil"/>
                  </w:tcBorders>
                  <w:vAlign w:val="center"/>
                </w:tcPr>
                <w:p>
                  <w:pPr>
                    <w:widowControl/>
                    <w:jc w:val="center"/>
                    <w:rPr>
                      <w:szCs w:val="21"/>
                    </w:rPr>
                  </w:pPr>
                  <w:r>
                    <w:rPr>
                      <w:rFonts w:hint="eastAsia" w:ascii="宋体" w:hAnsi="宋体" w:cs="宋体"/>
                      <w:b/>
                      <w:bCs/>
                      <w:kern w:val="0"/>
                      <w:szCs w:val="21"/>
                      <w:lang w:bidi="ar"/>
                    </w:rPr>
                    <w:t>工序</w:t>
                  </w:r>
                </w:p>
              </w:tc>
              <w:tc>
                <w:tcPr>
                  <w:tcW w:w="747" w:type="pct"/>
                  <w:tcBorders>
                    <w:tl2br w:val="nil"/>
                    <w:tr2bl w:val="nil"/>
                  </w:tcBorders>
                  <w:vAlign w:val="center"/>
                </w:tcPr>
                <w:p>
                  <w:pPr>
                    <w:widowControl/>
                    <w:jc w:val="center"/>
                    <w:rPr>
                      <w:szCs w:val="21"/>
                    </w:rPr>
                  </w:pPr>
                  <w:r>
                    <w:rPr>
                      <w:rFonts w:hint="eastAsia" w:ascii="宋体" w:hAnsi="宋体" w:cs="宋体"/>
                      <w:b/>
                      <w:bCs/>
                      <w:kern w:val="0"/>
                      <w:szCs w:val="21"/>
                      <w:lang w:bidi="ar"/>
                    </w:rPr>
                    <w:t>污染物</w:t>
                  </w:r>
                </w:p>
              </w:tc>
              <w:tc>
                <w:tcPr>
                  <w:tcW w:w="996" w:type="pct"/>
                  <w:tcBorders>
                    <w:tl2br w:val="nil"/>
                    <w:tr2bl w:val="nil"/>
                  </w:tcBorders>
                  <w:vAlign w:val="center"/>
                </w:tcPr>
                <w:p>
                  <w:pPr>
                    <w:widowControl/>
                    <w:jc w:val="center"/>
                    <w:rPr>
                      <w:szCs w:val="21"/>
                    </w:rPr>
                  </w:pPr>
                  <w:r>
                    <w:rPr>
                      <w:rFonts w:hint="eastAsia" w:ascii="宋体" w:hAnsi="宋体" w:cs="宋体"/>
                      <w:b/>
                      <w:bCs/>
                      <w:kern w:val="0"/>
                      <w:szCs w:val="21"/>
                      <w:lang w:bidi="ar"/>
                    </w:rPr>
                    <w:t>处理措施</w:t>
                  </w:r>
                </w:p>
              </w:tc>
              <w:tc>
                <w:tcPr>
                  <w:tcW w:w="1205" w:type="pct"/>
                  <w:tcBorders>
                    <w:tl2br w:val="nil"/>
                    <w:tr2bl w:val="nil"/>
                  </w:tcBorders>
                  <w:vAlign w:val="center"/>
                </w:tcPr>
                <w:p>
                  <w:pPr>
                    <w:widowControl/>
                    <w:jc w:val="center"/>
                    <w:rPr>
                      <w:szCs w:val="21"/>
                    </w:rPr>
                  </w:pPr>
                  <w:r>
                    <w:rPr>
                      <w:rFonts w:hint="eastAsia" w:ascii="宋体" w:hAnsi="宋体" w:cs="宋体"/>
                      <w:b/>
                      <w:bCs/>
                      <w:kern w:val="0"/>
                      <w:szCs w:val="21"/>
                      <w:lang w:bidi="ar"/>
                    </w:rPr>
                    <w:t>是否属于污染防治可行技术指南中可行性技术</w:t>
                  </w:r>
                </w:p>
              </w:tc>
              <w:tc>
                <w:tcPr>
                  <w:tcW w:w="1027" w:type="pct"/>
                  <w:tcBorders>
                    <w:tl2br w:val="nil"/>
                    <w:tr2bl w:val="nil"/>
                  </w:tcBorders>
                  <w:vAlign w:val="center"/>
                </w:tcPr>
                <w:p>
                  <w:pPr>
                    <w:widowControl/>
                    <w:jc w:val="center"/>
                    <w:rPr>
                      <w:szCs w:val="21"/>
                    </w:rPr>
                  </w:pPr>
                  <w:r>
                    <w:rPr>
                      <w:rFonts w:hint="eastAsia" w:ascii="宋体" w:hAnsi="宋体" w:cs="宋体"/>
                      <w:b/>
                      <w:bCs/>
                      <w:kern w:val="0"/>
                      <w:szCs w:val="21"/>
                      <w:lang w:bidi="ar"/>
                    </w:rPr>
                    <w:t>是否属于排污许可技术规范中可行性技术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23" w:type="pct"/>
                  <w:tcBorders>
                    <w:tl2br w:val="nil"/>
                    <w:tr2bl w:val="nil"/>
                  </w:tcBorders>
                  <w:vAlign w:val="center"/>
                </w:tcPr>
                <w:p>
                  <w:pPr>
                    <w:jc w:val="center"/>
                    <w:rPr>
                      <w:szCs w:val="21"/>
                    </w:rPr>
                  </w:pPr>
                  <w:r>
                    <w:rPr>
                      <w:rFonts w:hint="eastAsia"/>
                      <w:szCs w:val="21"/>
                    </w:rPr>
                    <w:t>压铸、固化、热粘、危废仓库</w:t>
                  </w:r>
                </w:p>
              </w:tc>
              <w:tc>
                <w:tcPr>
                  <w:tcW w:w="747" w:type="pct"/>
                  <w:tcBorders>
                    <w:tl2br w:val="nil"/>
                    <w:tr2bl w:val="nil"/>
                  </w:tcBorders>
                  <w:vAlign w:val="center"/>
                </w:tcPr>
                <w:p>
                  <w:pPr>
                    <w:widowControl/>
                    <w:jc w:val="center"/>
                    <w:rPr>
                      <w:szCs w:val="21"/>
                    </w:rPr>
                  </w:pPr>
                  <w:r>
                    <w:rPr>
                      <w:rFonts w:hint="eastAsia" w:ascii="宋体" w:hAnsi="宋体" w:cs="宋体"/>
                      <w:kern w:val="0"/>
                      <w:szCs w:val="21"/>
                      <w:lang w:bidi="ar"/>
                    </w:rPr>
                    <w:t>非甲烷总烃</w:t>
                  </w:r>
                </w:p>
              </w:tc>
              <w:tc>
                <w:tcPr>
                  <w:tcW w:w="996" w:type="pct"/>
                  <w:tcBorders>
                    <w:tl2br w:val="nil"/>
                    <w:tr2bl w:val="nil"/>
                  </w:tcBorders>
                  <w:vAlign w:val="center"/>
                </w:tcPr>
                <w:p>
                  <w:pPr>
                    <w:widowControl/>
                    <w:jc w:val="center"/>
                    <w:rPr>
                      <w:szCs w:val="21"/>
                    </w:rPr>
                  </w:pPr>
                  <w:r>
                    <w:rPr>
                      <w:rFonts w:hint="eastAsia" w:ascii="宋体" w:hAnsi="宋体" w:cs="宋体"/>
                      <w:kern w:val="0"/>
                      <w:szCs w:val="21"/>
                      <w:lang w:bidi="ar"/>
                    </w:rPr>
                    <w:t>集气罩收集+二级活性炭吸附</w:t>
                  </w:r>
                </w:p>
              </w:tc>
              <w:tc>
                <w:tcPr>
                  <w:tcW w:w="1205" w:type="pct"/>
                  <w:tcBorders>
                    <w:tl2br w:val="nil"/>
                    <w:tr2bl w:val="nil"/>
                  </w:tcBorders>
                  <w:vAlign w:val="center"/>
                </w:tcPr>
                <w:p>
                  <w:pPr>
                    <w:widowControl/>
                    <w:jc w:val="center"/>
                    <w:rPr>
                      <w:szCs w:val="21"/>
                    </w:rPr>
                  </w:pPr>
                  <w:r>
                    <w:rPr>
                      <w:rFonts w:hint="eastAsia"/>
                      <w:szCs w:val="21"/>
                    </w:rPr>
                    <w:t>是</w:t>
                  </w:r>
                </w:p>
              </w:tc>
              <w:tc>
                <w:tcPr>
                  <w:tcW w:w="1027" w:type="pct"/>
                  <w:tcBorders>
                    <w:tl2br w:val="nil"/>
                    <w:tr2bl w:val="nil"/>
                  </w:tcBorders>
                  <w:vAlign w:val="center"/>
                </w:tcPr>
                <w:p>
                  <w:pPr>
                    <w:widowControl/>
                    <w:jc w:val="center"/>
                    <w:rPr>
                      <w:szCs w:val="21"/>
                    </w:rPr>
                  </w:pPr>
                  <w:r>
                    <w:rPr>
                      <w:rFonts w:hint="eastAsia" w:ascii="宋体" w:hAnsi="宋体" w:cs="宋体"/>
                      <w:kern w:val="0"/>
                      <w:szCs w:val="21"/>
                      <w:lang w:bidi="ar"/>
                    </w:rPr>
                    <w:t>否</w:t>
                  </w:r>
                </w:p>
              </w:tc>
            </w:tr>
          </w:tbl>
          <w:p>
            <w:pPr>
              <w:tabs>
                <w:tab w:val="left" w:pos="3262"/>
              </w:tabs>
              <w:adjustRightInd w:val="0"/>
              <w:snapToGrid w:val="0"/>
              <w:spacing w:line="500" w:lineRule="exact"/>
              <w:ind w:firstLine="482" w:firstLineChars="200"/>
              <w:rPr>
                <w:color w:val="000000"/>
                <w:kern w:val="0"/>
                <w:sz w:val="24"/>
              </w:rPr>
            </w:pPr>
            <w:r>
              <w:rPr>
                <w:b/>
                <w:bCs/>
                <w:color w:val="000000"/>
                <w:sz w:val="24"/>
              </w:rPr>
              <w:t>二级活性炭吸附可行性：</w:t>
            </w:r>
          </w:p>
          <w:p>
            <w:pPr>
              <w:pStyle w:val="16"/>
              <w:widowControl w:val="0"/>
              <w:snapToGrid/>
              <w:spacing w:before="0" w:after="0" w:line="500" w:lineRule="exact"/>
              <w:ind w:right="0" w:firstLine="482" w:firstLineChars="200"/>
              <w:rPr>
                <w:b/>
                <w:bCs/>
                <w:color w:val="000000"/>
                <w:sz w:val="24"/>
                <w:szCs w:val="24"/>
              </w:rPr>
            </w:pPr>
            <w:r>
              <w:rPr>
                <w:b/>
                <w:bCs/>
                <w:color w:val="000000"/>
                <w:sz w:val="24"/>
                <w:szCs w:val="24"/>
              </w:rPr>
              <w:t>1）活性炭工作原理</w:t>
            </w:r>
          </w:p>
          <w:p>
            <w:pPr>
              <w:pStyle w:val="16"/>
              <w:widowControl w:val="0"/>
              <w:snapToGrid/>
              <w:spacing w:before="0" w:after="0" w:line="500" w:lineRule="exact"/>
              <w:ind w:right="0" w:firstLine="480" w:firstLineChars="200"/>
              <w:rPr>
                <w:sz w:val="24"/>
                <w:szCs w:val="24"/>
              </w:rPr>
            </w:pPr>
            <w:r>
              <w:rPr>
                <w:sz w:val="24"/>
                <w:szCs w:val="24"/>
              </w:rPr>
              <w:t>废气进入箱体由装填在两侧活性炭吸附净化，以</w:t>
            </w:r>
            <w:r>
              <w:rPr>
                <w:rFonts w:hint="eastAsia"/>
                <w:sz w:val="24"/>
                <w:szCs w:val="24"/>
              </w:rPr>
              <w:t>降低</w:t>
            </w:r>
            <w:r>
              <w:rPr>
                <w:sz w:val="24"/>
                <w:szCs w:val="24"/>
              </w:rPr>
              <w:t>吸附箱吸附流速提高净化效率。吸附原理：采用多孔性固体物质处理流体混合物时，流体中的某一组分或某些组分可被吸引到固体表面并保持其上，此现象称为吸附。在进行气态污染物治理中，被处理的流体为气体，因此属于气‐固吸附。被吸附的气体组分称为吸附质，多孔固体物质称为吸附剂。本项目废气采用两级活性炭吸附处理后通过排气筒排放。活性炭选用以优质无烟煤作为原料、外形蜂窝状，其主要特点为：具有强度高、比表面积较大、吸附容量高、吸附速度快、孔隙结构大小介于椰壳活性炭和木质活性炭之间。</w:t>
            </w:r>
          </w:p>
          <w:p>
            <w:pPr>
              <w:pStyle w:val="16"/>
              <w:widowControl w:val="0"/>
              <w:snapToGrid/>
              <w:spacing w:before="0" w:after="0" w:line="500" w:lineRule="exact"/>
              <w:ind w:right="0" w:firstLine="480" w:firstLineChars="200"/>
              <w:rPr>
                <w:sz w:val="24"/>
                <w:szCs w:val="24"/>
              </w:rPr>
            </w:pPr>
            <w:r>
              <w:rPr>
                <w:sz w:val="24"/>
                <w:szCs w:val="24"/>
              </w:rPr>
              <w:t>废气处理成功运行的工程案例：</w:t>
            </w:r>
          </w:p>
          <w:p>
            <w:pPr>
              <w:pStyle w:val="16"/>
              <w:keepNext w:val="0"/>
              <w:keepLines w:val="0"/>
              <w:pageBreakBefore w:val="0"/>
              <w:widowControl w:val="0"/>
              <w:kinsoku/>
              <w:wordWrap/>
              <w:overflowPunct/>
              <w:topLinePunct w:val="0"/>
              <w:autoSpaceDE/>
              <w:autoSpaceDN/>
              <w:bidi w:val="0"/>
              <w:adjustRightInd/>
              <w:snapToGrid/>
              <w:spacing w:before="0" w:after="0" w:line="500" w:lineRule="exact"/>
              <w:ind w:right="0" w:firstLine="480" w:firstLineChars="200"/>
              <w:textAlignment w:val="auto"/>
              <w:rPr>
                <w:sz w:val="24"/>
                <w:szCs w:val="24"/>
              </w:rPr>
            </w:pPr>
            <w:r>
              <w:rPr>
                <w:sz w:val="24"/>
                <w:szCs w:val="24"/>
              </w:rPr>
              <w:t>本项目使用的废气处理技术成熟，类比同类废气，泰州市中田模具制造有限公司注塑废气采用</w:t>
            </w:r>
            <w:r>
              <w:rPr>
                <w:rFonts w:hint="eastAsia"/>
                <w:color w:val="0000FF"/>
                <w:sz w:val="24"/>
                <w:szCs w:val="24"/>
                <w:lang w:eastAsia="zh-CN"/>
              </w:rPr>
              <w:t>“</w:t>
            </w:r>
            <w:r>
              <w:rPr>
                <w:sz w:val="24"/>
                <w:szCs w:val="24"/>
              </w:rPr>
              <w:t>二级活性炭吸附</w:t>
            </w:r>
            <w:r>
              <w:rPr>
                <w:rFonts w:hint="eastAsia"/>
                <w:color w:val="0000FF"/>
                <w:sz w:val="24"/>
                <w:szCs w:val="24"/>
                <w:lang w:eastAsia="zh-CN"/>
              </w:rPr>
              <w:t>”</w:t>
            </w:r>
            <w:r>
              <w:rPr>
                <w:sz w:val="24"/>
                <w:szCs w:val="24"/>
              </w:rPr>
              <w:t>处理工艺，根据其验收检测数据，该工艺对非甲烷总烃去除率均达到90%以上，数据见表4-7。</w:t>
            </w:r>
          </w:p>
          <w:p>
            <w:pPr>
              <w:keepNext w:val="0"/>
              <w:keepLines w:val="0"/>
              <w:pageBreakBefore w:val="0"/>
              <w:widowControl/>
              <w:kinsoku/>
              <w:wordWrap/>
              <w:overflowPunct/>
              <w:topLinePunct w:val="0"/>
              <w:autoSpaceDE/>
              <w:autoSpaceDN/>
              <w:bidi w:val="0"/>
              <w:adjustRightInd/>
              <w:snapToGrid/>
              <w:spacing w:before="157" w:beforeLines="50" w:after="157" w:afterLines="50"/>
              <w:jc w:val="center"/>
              <w:textAlignment w:val="auto"/>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表4-7泰州市中田模具制造有限公司注塑废气处理设施进出口监测数据</w:t>
            </w:r>
          </w:p>
          <w:tbl>
            <w:tblPr>
              <w:tblStyle w:val="34"/>
              <w:tblW w:w="498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432"/>
              <w:gridCol w:w="1189"/>
              <w:gridCol w:w="1289"/>
              <w:gridCol w:w="1189"/>
              <w:gridCol w:w="1679"/>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4" w:type="pct"/>
                  <w:tcBorders>
                    <w:top w:val="single" w:color="auto" w:sz="12" w:space="0"/>
                    <w:left w:val="nil"/>
                  </w:tcBorders>
                  <w:vAlign w:val="center"/>
                </w:tcPr>
                <w:p>
                  <w:pPr>
                    <w:widowControl/>
                    <w:adjustRightInd w:val="0"/>
                    <w:jc w:val="center"/>
                    <w:rPr>
                      <w:szCs w:val="21"/>
                    </w:rPr>
                  </w:pPr>
                  <w:r>
                    <w:rPr>
                      <w:b/>
                      <w:bCs/>
                      <w:color w:val="000000"/>
                      <w:kern w:val="0"/>
                      <w:szCs w:val="21"/>
                      <w:lang w:bidi="ar"/>
                    </w:rPr>
                    <w:t>污染源</w:t>
                  </w:r>
                </w:p>
              </w:tc>
              <w:tc>
                <w:tcPr>
                  <w:tcW w:w="839" w:type="pct"/>
                  <w:tcBorders>
                    <w:top w:val="single" w:color="auto" w:sz="12" w:space="0"/>
                  </w:tcBorders>
                  <w:vAlign w:val="center"/>
                </w:tcPr>
                <w:p>
                  <w:pPr>
                    <w:widowControl/>
                    <w:adjustRightInd w:val="0"/>
                    <w:jc w:val="center"/>
                    <w:rPr>
                      <w:szCs w:val="21"/>
                    </w:rPr>
                  </w:pPr>
                  <w:r>
                    <w:rPr>
                      <w:b/>
                      <w:bCs/>
                      <w:color w:val="000000"/>
                      <w:kern w:val="0"/>
                      <w:szCs w:val="21"/>
                      <w:lang w:bidi="ar"/>
                    </w:rPr>
                    <w:t>污染物</w:t>
                  </w:r>
                </w:p>
              </w:tc>
              <w:tc>
                <w:tcPr>
                  <w:tcW w:w="697" w:type="pct"/>
                  <w:tcBorders>
                    <w:top w:val="single" w:color="auto" w:sz="12" w:space="0"/>
                  </w:tcBorders>
                  <w:vAlign w:val="center"/>
                </w:tcPr>
                <w:p>
                  <w:pPr>
                    <w:widowControl/>
                    <w:adjustRightInd w:val="0"/>
                    <w:jc w:val="center"/>
                    <w:rPr>
                      <w:szCs w:val="21"/>
                    </w:rPr>
                  </w:pPr>
                  <w:r>
                    <w:rPr>
                      <w:b/>
                      <w:bCs/>
                      <w:color w:val="000000"/>
                      <w:kern w:val="0"/>
                      <w:szCs w:val="21"/>
                      <w:lang w:bidi="ar"/>
                    </w:rPr>
                    <w:t>产生浓度</w:t>
                  </w:r>
                </w:p>
                <w:p>
                  <w:pPr>
                    <w:widowControl/>
                    <w:adjustRightInd w:val="0"/>
                    <w:jc w:val="center"/>
                    <w:rPr>
                      <w:szCs w:val="21"/>
                    </w:rPr>
                  </w:pPr>
                  <w:r>
                    <w:rPr>
                      <w:b/>
                      <w:bCs/>
                      <w:color w:val="000000"/>
                      <w:kern w:val="0"/>
                      <w:szCs w:val="21"/>
                      <w:lang w:bidi="ar"/>
                    </w:rPr>
                    <w:t>mg/m</w:t>
                  </w:r>
                  <w:r>
                    <w:rPr>
                      <w:b/>
                      <w:bCs/>
                      <w:color w:val="000000"/>
                      <w:kern w:val="0"/>
                      <w:szCs w:val="21"/>
                      <w:vertAlign w:val="superscript"/>
                      <w:lang w:bidi="ar"/>
                    </w:rPr>
                    <w:t>3</w:t>
                  </w:r>
                </w:p>
              </w:tc>
              <w:tc>
                <w:tcPr>
                  <w:tcW w:w="756" w:type="pct"/>
                  <w:tcBorders>
                    <w:top w:val="single" w:color="auto" w:sz="12" w:space="0"/>
                  </w:tcBorders>
                  <w:vAlign w:val="center"/>
                </w:tcPr>
                <w:p>
                  <w:pPr>
                    <w:widowControl/>
                    <w:adjustRightInd w:val="0"/>
                    <w:jc w:val="center"/>
                    <w:rPr>
                      <w:szCs w:val="21"/>
                    </w:rPr>
                  </w:pPr>
                  <w:r>
                    <w:rPr>
                      <w:b/>
                      <w:bCs/>
                      <w:color w:val="000000"/>
                      <w:kern w:val="0"/>
                      <w:szCs w:val="21"/>
                      <w:lang w:bidi="ar"/>
                    </w:rPr>
                    <w:t>产生速率</w:t>
                  </w:r>
                </w:p>
                <w:p>
                  <w:pPr>
                    <w:widowControl/>
                    <w:adjustRightInd w:val="0"/>
                    <w:jc w:val="center"/>
                    <w:rPr>
                      <w:szCs w:val="21"/>
                    </w:rPr>
                  </w:pPr>
                  <w:r>
                    <w:rPr>
                      <w:b/>
                      <w:bCs/>
                      <w:color w:val="000000"/>
                      <w:kern w:val="0"/>
                      <w:szCs w:val="21"/>
                      <w:lang w:bidi="ar"/>
                    </w:rPr>
                    <w:t>kg/h</w:t>
                  </w:r>
                </w:p>
              </w:tc>
              <w:tc>
                <w:tcPr>
                  <w:tcW w:w="697" w:type="pct"/>
                  <w:tcBorders>
                    <w:top w:val="single" w:color="auto" w:sz="12" w:space="0"/>
                  </w:tcBorders>
                  <w:vAlign w:val="center"/>
                </w:tcPr>
                <w:p>
                  <w:pPr>
                    <w:widowControl/>
                    <w:adjustRightInd w:val="0"/>
                    <w:jc w:val="center"/>
                    <w:rPr>
                      <w:szCs w:val="21"/>
                    </w:rPr>
                  </w:pPr>
                  <w:r>
                    <w:rPr>
                      <w:b/>
                      <w:bCs/>
                      <w:color w:val="000000"/>
                      <w:kern w:val="0"/>
                      <w:szCs w:val="21"/>
                      <w:lang w:bidi="ar"/>
                    </w:rPr>
                    <w:t>排放浓度</w:t>
                  </w:r>
                </w:p>
                <w:p>
                  <w:pPr>
                    <w:widowControl/>
                    <w:adjustRightInd w:val="0"/>
                    <w:jc w:val="center"/>
                    <w:rPr>
                      <w:szCs w:val="21"/>
                    </w:rPr>
                  </w:pPr>
                  <w:r>
                    <w:rPr>
                      <w:b/>
                      <w:bCs/>
                      <w:color w:val="000000"/>
                      <w:kern w:val="0"/>
                      <w:szCs w:val="21"/>
                      <w:lang w:bidi="ar"/>
                    </w:rPr>
                    <w:t>mg/m</w:t>
                  </w:r>
                  <w:r>
                    <w:rPr>
                      <w:b/>
                      <w:bCs/>
                      <w:color w:val="000000"/>
                      <w:kern w:val="0"/>
                      <w:szCs w:val="21"/>
                      <w:vertAlign w:val="superscript"/>
                      <w:lang w:bidi="ar"/>
                    </w:rPr>
                    <w:t>3</w:t>
                  </w:r>
                </w:p>
              </w:tc>
              <w:tc>
                <w:tcPr>
                  <w:tcW w:w="984" w:type="pct"/>
                  <w:tcBorders>
                    <w:top w:val="single" w:color="auto" w:sz="12" w:space="0"/>
                  </w:tcBorders>
                  <w:vAlign w:val="center"/>
                </w:tcPr>
                <w:p>
                  <w:pPr>
                    <w:widowControl/>
                    <w:adjustRightInd w:val="0"/>
                    <w:jc w:val="center"/>
                    <w:rPr>
                      <w:szCs w:val="21"/>
                    </w:rPr>
                  </w:pPr>
                  <w:r>
                    <w:rPr>
                      <w:b/>
                      <w:bCs/>
                      <w:color w:val="000000"/>
                      <w:kern w:val="0"/>
                      <w:szCs w:val="21"/>
                      <w:lang w:bidi="ar"/>
                    </w:rPr>
                    <w:t>排放速率</w:t>
                  </w:r>
                </w:p>
                <w:p>
                  <w:pPr>
                    <w:widowControl/>
                    <w:adjustRightInd w:val="0"/>
                    <w:jc w:val="center"/>
                    <w:rPr>
                      <w:szCs w:val="21"/>
                    </w:rPr>
                  </w:pPr>
                  <w:r>
                    <w:rPr>
                      <w:b/>
                      <w:bCs/>
                      <w:color w:val="000000"/>
                      <w:kern w:val="0"/>
                      <w:szCs w:val="21"/>
                      <w:lang w:bidi="ar"/>
                    </w:rPr>
                    <w:t>kg/h</w:t>
                  </w:r>
                </w:p>
              </w:tc>
              <w:tc>
                <w:tcPr>
                  <w:tcW w:w="469" w:type="pct"/>
                  <w:tcBorders>
                    <w:top w:val="single" w:color="auto" w:sz="12" w:space="0"/>
                    <w:right w:val="nil"/>
                  </w:tcBorders>
                  <w:vAlign w:val="center"/>
                </w:tcPr>
                <w:p>
                  <w:pPr>
                    <w:widowControl/>
                    <w:adjustRightInd w:val="0"/>
                    <w:jc w:val="center"/>
                    <w:rPr>
                      <w:szCs w:val="21"/>
                    </w:rPr>
                  </w:pPr>
                  <w:r>
                    <w:rPr>
                      <w:b/>
                      <w:bCs/>
                      <w:color w:val="000000"/>
                      <w:kern w:val="0"/>
                      <w:szCs w:val="21"/>
                      <w:lang w:bidi="ar"/>
                    </w:rPr>
                    <w:t>处理效率%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4" w:type="pct"/>
                  <w:tcBorders>
                    <w:left w:val="nil"/>
                    <w:bottom w:val="single" w:color="auto" w:sz="12" w:space="0"/>
                  </w:tcBorders>
                  <w:vAlign w:val="center"/>
                </w:tcPr>
                <w:p>
                  <w:pPr>
                    <w:widowControl/>
                    <w:jc w:val="center"/>
                    <w:rPr>
                      <w:szCs w:val="21"/>
                    </w:rPr>
                  </w:pPr>
                  <w:r>
                    <w:rPr>
                      <w:color w:val="000000"/>
                      <w:kern w:val="0"/>
                      <w:szCs w:val="21"/>
                      <w:lang w:bidi="ar"/>
                    </w:rPr>
                    <w:t>注塑</w:t>
                  </w:r>
                </w:p>
              </w:tc>
              <w:tc>
                <w:tcPr>
                  <w:tcW w:w="839" w:type="pct"/>
                  <w:tcBorders>
                    <w:bottom w:val="single" w:color="auto" w:sz="12" w:space="0"/>
                  </w:tcBorders>
                  <w:vAlign w:val="center"/>
                </w:tcPr>
                <w:p>
                  <w:pPr>
                    <w:widowControl/>
                    <w:jc w:val="center"/>
                    <w:rPr>
                      <w:szCs w:val="21"/>
                    </w:rPr>
                  </w:pPr>
                  <w:r>
                    <w:rPr>
                      <w:color w:val="000000"/>
                      <w:kern w:val="0"/>
                      <w:szCs w:val="21"/>
                      <w:lang w:bidi="ar"/>
                    </w:rPr>
                    <w:t>非甲烷总烃</w:t>
                  </w:r>
                </w:p>
              </w:tc>
              <w:tc>
                <w:tcPr>
                  <w:tcW w:w="697" w:type="pct"/>
                  <w:tcBorders>
                    <w:bottom w:val="single" w:color="auto" w:sz="12" w:space="0"/>
                  </w:tcBorders>
                  <w:vAlign w:val="center"/>
                </w:tcPr>
                <w:p>
                  <w:pPr>
                    <w:widowControl/>
                    <w:jc w:val="center"/>
                    <w:rPr>
                      <w:szCs w:val="21"/>
                    </w:rPr>
                  </w:pPr>
                  <w:r>
                    <w:rPr>
                      <w:color w:val="000000"/>
                      <w:kern w:val="0"/>
                      <w:szCs w:val="21"/>
                      <w:lang w:bidi="ar"/>
                    </w:rPr>
                    <w:t>4.62-7.05</w:t>
                  </w:r>
                </w:p>
              </w:tc>
              <w:tc>
                <w:tcPr>
                  <w:tcW w:w="756" w:type="pct"/>
                  <w:tcBorders>
                    <w:bottom w:val="single" w:color="auto" w:sz="12" w:space="0"/>
                  </w:tcBorders>
                  <w:vAlign w:val="center"/>
                </w:tcPr>
                <w:p>
                  <w:pPr>
                    <w:widowControl/>
                    <w:jc w:val="center"/>
                    <w:rPr>
                      <w:szCs w:val="21"/>
                    </w:rPr>
                  </w:pPr>
                  <w:r>
                    <w:rPr>
                      <w:color w:val="000000"/>
                      <w:kern w:val="0"/>
                      <w:szCs w:val="21"/>
                      <w:lang w:bidi="ar"/>
                    </w:rPr>
                    <w:t>0.044-0.069</w:t>
                  </w:r>
                </w:p>
              </w:tc>
              <w:tc>
                <w:tcPr>
                  <w:tcW w:w="697" w:type="pct"/>
                  <w:tcBorders>
                    <w:bottom w:val="single" w:color="auto" w:sz="12" w:space="0"/>
                  </w:tcBorders>
                  <w:vAlign w:val="center"/>
                </w:tcPr>
                <w:p>
                  <w:pPr>
                    <w:widowControl/>
                    <w:jc w:val="center"/>
                    <w:rPr>
                      <w:szCs w:val="21"/>
                    </w:rPr>
                  </w:pPr>
                  <w:r>
                    <w:rPr>
                      <w:color w:val="000000"/>
                      <w:kern w:val="0"/>
                      <w:szCs w:val="21"/>
                      <w:lang w:bidi="ar"/>
                    </w:rPr>
                    <w:t>0.46-0.69</w:t>
                  </w:r>
                </w:p>
              </w:tc>
              <w:tc>
                <w:tcPr>
                  <w:tcW w:w="984" w:type="pct"/>
                  <w:tcBorders>
                    <w:bottom w:val="single" w:color="auto" w:sz="12" w:space="0"/>
                  </w:tcBorders>
                  <w:vAlign w:val="center"/>
                </w:tcPr>
                <w:p>
                  <w:pPr>
                    <w:widowControl/>
                    <w:jc w:val="center"/>
                    <w:rPr>
                      <w:szCs w:val="21"/>
                    </w:rPr>
                  </w:pPr>
                  <w:r>
                    <w:rPr>
                      <w:color w:val="000000"/>
                      <w:kern w:val="0"/>
                      <w:szCs w:val="21"/>
                      <w:lang w:bidi="ar"/>
                    </w:rPr>
                    <w:t>0.0041-0.0065</w:t>
                  </w:r>
                </w:p>
              </w:tc>
              <w:tc>
                <w:tcPr>
                  <w:tcW w:w="469" w:type="pct"/>
                  <w:tcBorders>
                    <w:bottom w:val="single" w:color="auto" w:sz="12" w:space="0"/>
                    <w:right w:val="nil"/>
                  </w:tcBorders>
                  <w:vAlign w:val="center"/>
                </w:tcPr>
                <w:p>
                  <w:pPr>
                    <w:widowControl/>
                    <w:adjustRightInd w:val="0"/>
                    <w:jc w:val="center"/>
                    <w:rPr>
                      <w:szCs w:val="21"/>
                    </w:rPr>
                  </w:pPr>
                  <w:r>
                    <w:rPr>
                      <w:color w:val="000000"/>
                      <w:kern w:val="0"/>
                      <w:szCs w:val="21"/>
                      <w:lang w:bidi="ar"/>
                    </w:rPr>
                    <w:t>＞90</w:t>
                  </w:r>
                </w:p>
              </w:tc>
            </w:tr>
          </w:tbl>
          <w:p>
            <w:pPr>
              <w:pStyle w:val="16"/>
              <w:widowControl w:val="0"/>
              <w:snapToGrid/>
              <w:spacing w:before="0" w:after="0" w:line="500" w:lineRule="exact"/>
              <w:ind w:right="0" w:firstLine="480" w:firstLineChars="200"/>
              <w:rPr>
                <w:sz w:val="24"/>
                <w:szCs w:val="24"/>
              </w:rPr>
            </w:pPr>
            <w:r>
              <w:rPr>
                <w:rFonts w:hint="eastAsia"/>
                <w:sz w:val="24"/>
                <w:szCs w:val="24"/>
              </w:rPr>
              <w:t>可见</w:t>
            </w:r>
            <w:r>
              <w:rPr>
                <w:rFonts w:hint="eastAsia"/>
                <w:color w:val="0000FF"/>
                <w:sz w:val="24"/>
                <w:szCs w:val="24"/>
                <w:lang w:eastAsia="zh-CN"/>
              </w:rPr>
              <w:t>“</w:t>
            </w:r>
            <w:r>
              <w:rPr>
                <w:sz w:val="24"/>
                <w:szCs w:val="24"/>
              </w:rPr>
              <w:t>二级活性炭吸附</w:t>
            </w:r>
            <w:r>
              <w:rPr>
                <w:rFonts w:hint="eastAsia"/>
                <w:color w:val="0000FF"/>
                <w:sz w:val="24"/>
                <w:szCs w:val="24"/>
                <w:lang w:eastAsia="zh-CN"/>
              </w:rPr>
              <w:t>”</w:t>
            </w:r>
            <w:r>
              <w:rPr>
                <w:rFonts w:hint="eastAsia"/>
                <w:sz w:val="24"/>
                <w:szCs w:val="24"/>
              </w:rPr>
              <w:t>对注塑废气中的非甲烷总烃有</w:t>
            </w:r>
            <w:r>
              <w:rPr>
                <w:rFonts w:hint="eastAsia"/>
                <w:sz w:val="24"/>
                <w:szCs w:val="24"/>
                <w:lang w:val="en-US" w:eastAsia="zh-CN"/>
              </w:rPr>
              <w:t>较好</w:t>
            </w:r>
            <w:r>
              <w:rPr>
                <w:rFonts w:hint="eastAsia"/>
                <w:sz w:val="24"/>
                <w:szCs w:val="24"/>
              </w:rPr>
              <w:t>的去除效率，去除效率可达9</w:t>
            </w:r>
            <w:r>
              <w:rPr>
                <w:sz w:val="24"/>
                <w:szCs w:val="24"/>
              </w:rPr>
              <w:t>0%</w:t>
            </w:r>
            <w:r>
              <w:rPr>
                <w:rFonts w:hint="eastAsia"/>
                <w:sz w:val="24"/>
                <w:szCs w:val="24"/>
              </w:rPr>
              <w:t>以上。</w:t>
            </w:r>
          </w:p>
          <w:p>
            <w:pPr>
              <w:pStyle w:val="83"/>
              <w:spacing w:line="500" w:lineRule="exact"/>
              <w:ind w:firstLine="482" w:firstLineChars="200"/>
              <w:rPr>
                <w:b/>
                <w:bCs/>
                <w:snapToGrid w:val="0"/>
                <w:w w:val="100"/>
                <w:sz w:val="24"/>
                <w:szCs w:val="24"/>
              </w:rPr>
            </w:pPr>
            <w:r>
              <w:rPr>
                <w:rFonts w:hint="eastAsia"/>
                <w:b/>
                <w:bCs/>
                <w:snapToGrid w:val="0"/>
                <w:w w:val="100"/>
                <w:sz w:val="24"/>
                <w:szCs w:val="24"/>
              </w:rPr>
              <w:t>2）活性炭装置设计参数</w:t>
            </w:r>
          </w:p>
          <w:p>
            <w:pPr>
              <w:pStyle w:val="83"/>
              <w:keepNext w:val="0"/>
              <w:keepLines w:val="0"/>
              <w:pageBreakBefore w:val="0"/>
              <w:widowControl w:val="0"/>
              <w:kinsoku/>
              <w:wordWrap/>
              <w:overflowPunct/>
              <w:topLinePunct w:val="0"/>
              <w:autoSpaceDE/>
              <w:autoSpaceDN/>
              <w:bidi w:val="0"/>
              <w:adjustRightInd w:val="0"/>
              <w:snapToGrid/>
              <w:spacing w:before="157" w:beforeLines="50" w:after="157" w:afterLines="50"/>
              <w:jc w:val="center"/>
              <w:textAlignment w:val="auto"/>
              <w:rPr>
                <w:rFonts w:hint="default" w:ascii="Times New Roman" w:hAnsi="Times New Roman" w:eastAsia="宋体" w:cs="Times New Roman"/>
                <w:b/>
                <w:bCs/>
                <w:color w:val="000000"/>
                <w:w w:val="100"/>
                <w:kern w:val="0"/>
                <w:sz w:val="21"/>
                <w:szCs w:val="21"/>
                <w:lang w:val="en-US" w:eastAsia="zh-CN" w:bidi="ar"/>
              </w:rPr>
            </w:pPr>
            <w:r>
              <w:rPr>
                <w:rFonts w:hint="eastAsia" w:ascii="Times New Roman" w:hAnsi="Times New Roman" w:eastAsia="宋体" w:cs="Times New Roman"/>
                <w:b/>
                <w:bCs/>
                <w:color w:val="000000"/>
                <w:w w:val="100"/>
                <w:kern w:val="0"/>
                <w:sz w:val="21"/>
                <w:szCs w:val="21"/>
                <w:lang w:val="en-US" w:eastAsia="zh-CN" w:bidi="ar"/>
              </w:rPr>
              <w:t>表</w:t>
            </w:r>
            <w:r>
              <w:rPr>
                <w:rFonts w:hint="default" w:ascii="Times New Roman" w:hAnsi="Times New Roman" w:eastAsia="宋体" w:cs="Times New Roman"/>
                <w:b/>
                <w:bCs/>
                <w:color w:val="000000"/>
                <w:w w:val="100"/>
                <w:kern w:val="0"/>
                <w:sz w:val="21"/>
                <w:szCs w:val="21"/>
                <w:lang w:val="en-US" w:eastAsia="zh-CN" w:bidi="ar"/>
              </w:rPr>
              <w:t>4-</w:t>
            </w:r>
            <w:r>
              <w:rPr>
                <w:rFonts w:hint="eastAsia" w:ascii="Times New Roman" w:hAnsi="Times New Roman" w:eastAsia="宋体" w:cs="Times New Roman"/>
                <w:b/>
                <w:bCs/>
                <w:color w:val="000000"/>
                <w:w w:val="100"/>
                <w:kern w:val="0"/>
                <w:sz w:val="21"/>
                <w:szCs w:val="21"/>
                <w:lang w:val="en-US" w:eastAsia="zh-CN" w:bidi="ar"/>
              </w:rPr>
              <w:t>8活性炭吸附装置技术参数一览表</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2142"/>
              <w:gridCol w:w="21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40" w:type="dxa"/>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指标</w:t>
                  </w:r>
                </w:p>
              </w:tc>
              <w:tc>
                <w:tcPr>
                  <w:tcW w:w="3940" w:type="dxa"/>
                  <w:gridSpan w:val="2"/>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参数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40" w:type="dxa"/>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ascii="Times New Roman" w:hAnsi="Times New Roman" w:cs="Times New Roman"/>
                      <w:color w:val="000000" w:themeColor="text1"/>
                      <w14:textFill>
                        <w14:solidFill>
                          <w14:schemeClr w14:val="tx1"/>
                        </w14:solidFill>
                      </w14:textFill>
                    </w:rPr>
                    <w:t>处理风量</w:t>
                  </w:r>
                </w:p>
              </w:tc>
              <w:tc>
                <w:tcPr>
                  <w:tcW w:w="3940" w:type="dxa"/>
                  <w:gridSpan w:val="2"/>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10</w:t>
                  </w:r>
                  <w:r>
                    <w:rPr>
                      <w:rFonts w:ascii="Times New Roman" w:hAnsi="Times New Roman" w:cs="Times New Roman"/>
                      <w:color w:val="000000" w:themeColor="text1"/>
                      <w14:textFill>
                        <w14:solidFill>
                          <w14:schemeClr w14:val="tx1"/>
                        </w14:solidFill>
                      </w14:textFill>
                    </w:rPr>
                    <w:t>000m³/h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40" w:type="dxa"/>
                  <w:vAlign w:val="center"/>
                </w:tcPr>
                <w:p>
                  <w:pPr>
                    <w:pStyle w:val="60"/>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olor w:val="000000" w:themeColor="text1"/>
                      <w:szCs w:val="21"/>
                      <w14:textFill>
                        <w14:solidFill>
                          <w14:schemeClr w14:val="tx1"/>
                        </w14:solidFill>
                      </w14:textFill>
                    </w:rPr>
                    <w:t>装置尺寸规格</w:t>
                  </w:r>
                </w:p>
              </w:tc>
              <w:tc>
                <w:tcPr>
                  <w:tcW w:w="1970" w:type="dxa"/>
                  <w:vAlign w:val="center"/>
                </w:tcPr>
                <w:p>
                  <w:pPr>
                    <w:pStyle w:val="18"/>
                    <w:jc w:val="center"/>
                    <w:rPr>
                      <w:rFonts w:hAnsi="Times New Roman"/>
                      <w:color w:val="000000" w:themeColor="text1"/>
                      <w:szCs w:val="21"/>
                      <w14:textFill>
                        <w14:solidFill>
                          <w14:schemeClr w14:val="tx1"/>
                        </w14:solidFill>
                      </w14:textFill>
                    </w:rPr>
                  </w:pPr>
                  <w:r>
                    <w:rPr>
                      <w:rFonts w:hint="eastAsia" w:hAnsi="Times New Roman"/>
                      <w:color w:val="000000" w:themeColor="text1"/>
                      <w:szCs w:val="21"/>
                      <w14:textFill>
                        <w14:solidFill>
                          <w14:schemeClr w14:val="tx1"/>
                        </w14:solidFill>
                      </w14:textFill>
                    </w:rPr>
                    <w:t>2.1</w:t>
                  </w:r>
                  <w:r>
                    <w:rPr>
                      <w:rFonts w:hAnsi="Times New Roman"/>
                      <w:color w:val="000000" w:themeColor="text1"/>
                      <w:szCs w:val="21"/>
                      <w14:textFill>
                        <w14:solidFill>
                          <w14:schemeClr w14:val="tx1"/>
                        </w14:solidFill>
                      </w14:textFill>
                    </w:rPr>
                    <w:t>×</w:t>
                  </w:r>
                  <w:r>
                    <w:rPr>
                      <w:rFonts w:hint="eastAsia" w:hAnsi="Times New Roman"/>
                      <w:color w:val="000000" w:themeColor="text1"/>
                      <w:szCs w:val="21"/>
                      <w14:textFill>
                        <w14:solidFill>
                          <w14:schemeClr w14:val="tx1"/>
                        </w14:solidFill>
                      </w14:textFill>
                    </w:rPr>
                    <w:t>1.8</w:t>
                  </w:r>
                  <w:r>
                    <w:rPr>
                      <w:rFonts w:hAnsi="Times New Roman"/>
                      <w:color w:val="000000" w:themeColor="text1"/>
                      <w:szCs w:val="21"/>
                      <w14:textFill>
                        <w14:solidFill>
                          <w14:schemeClr w14:val="tx1"/>
                        </w14:solidFill>
                      </w14:textFill>
                    </w:rPr>
                    <w:t>×1m</w:t>
                  </w:r>
                </w:p>
                <w:p>
                  <w:pPr>
                    <w:pStyle w:val="60"/>
                    <w:adjustRightInd w:val="0"/>
                    <w:snapToGrid w:val="0"/>
                    <w:jc w:val="center"/>
                    <w:rPr>
                      <w:rFonts w:ascii="Times New Roman" w:hAnsi="Times New Roman" w:cs="Times New Roman"/>
                      <w:color w:val="000000" w:themeColor="text1"/>
                      <w:lang w:val="en-US"/>
                      <w14:textFill>
                        <w14:solidFill>
                          <w14:schemeClr w14:val="tx1"/>
                        </w14:solidFill>
                      </w14:textFill>
                    </w:rPr>
                  </w:pPr>
                  <w:r>
                    <w:rPr>
                      <w:rFonts w:ascii="Times New Roman" w:hAnsi="Times New Roman"/>
                      <w:color w:val="000000" w:themeColor="text1"/>
                      <w:szCs w:val="21"/>
                      <w:lang w:val="en-US"/>
                      <w14:textFill>
                        <w14:solidFill>
                          <w14:schemeClr w14:val="tx1"/>
                        </w14:solidFill>
                      </w14:textFill>
                    </w:rPr>
                    <w:t>（L×W×H）</w:t>
                  </w:r>
                </w:p>
              </w:tc>
              <w:tc>
                <w:tcPr>
                  <w:tcW w:w="1970" w:type="dxa"/>
                  <w:vAlign w:val="center"/>
                </w:tcPr>
                <w:p>
                  <w:pPr>
                    <w:pStyle w:val="18"/>
                    <w:jc w:val="center"/>
                    <w:rPr>
                      <w:rFonts w:hAnsi="Times New Roman"/>
                      <w:color w:val="000000" w:themeColor="text1"/>
                      <w:szCs w:val="21"/>
                      <w14:textFill>
                        <w14:solidFill>
                          <w14:schemeClr w14:val="tx1"/>
                        </w14:solidFill>
                      </w14:textFill>
                    </w:rPr>
                  </w:pPr>
                  <w:r>
                    <w:rPr>
                      <w:rFonts w:hint="eastAsia" w:hAnsi="Times New Roman"/>
                      <w:color w:val="000000" w:themeColor="text1"/>
                      <w:szCs w:val="21"/>
                      <w14:textFill>
                        <w14:solidFill>
                          <w14:schemeClr w14:val="tx1"/>
                        </w14:solidFill>
                      </w14:textFill>
                    </w:rPr>
                    <w:t>2.1</w:t>
                  </w:r>
                  <w:r>
                    <w:rPr>
                      <w:rFonts w:hAnsi="Times New Roman"/>
                      <w:color w:val="000000" w:themeColor="text1"/>
                      <w:szCs w:val="21"/>
                      <w14:textFill>
                        <w14:solidFill>
                          <w14:schemeClr w14:val="tx1"/>
                        </w14:solidFill>
                      </w14:textFill>
                    </w:rPr>
                    <w:t>×</w:t>
                  </w:r>
                  <w:r>
                    <w:rPr>
                      <w:rFonts w:hint="eastAsia" w:hAnsi="Times New Roman"/>
                      <w:color w:val="000000" w:themeColor="text1"/>
                      <w:szCs w:val="21"/>
                      <w14:textFill>
                        <w14:solidFill>
                          <w14:schemeClr w14:val="tx1"/>
                        </w14:solidFill>
                      </w14:textFill>
                    </w:rPr>
                    <w:t>1.8</w:t>
                  </w:r>
                  <w:r>
                    <w:rPr>
                      <w:rFonts w:hAnsi="Times New Roman"/>
                      <w:color w:val="000000" w:themeColor="text1"/>
                      <w:szCs w:val="21"/>
                      <w14:textFill>
                        <w14:solidFill>
                          <w14:schemeClr w14:val="tx1"/>
                        </w14:solidFill>
                      </w14:textFill>
                    </w:rPr>
                    <w:t>×1m</w:t>
                  </w:r>
                </w:p>
                <w:p>
                  <w:pPr>
                    <w:pStyle w:val="60"/>
                    <w:adjustRightInd w:val="0"/>
                    <w:snapToGrid w:val="0"/>
                    <w:jc w:val="center"/>
                    <w:rPr>
                      <w:rFonts w:ascii="Times New Roman" w:hAnsi="Times New Roman"/>
                      <w:color w:val="000000" w:themeColor="text1"/>
                      <w:szCs w:val="21"/>
                      <w:lang w:val="en-US"/>
                      <w14:textFill>
                        <w14:solidFill>
                          <w14:schemeClr w14:val="tx1"/>
                        </w14:solidFill>
                      </w14:textFill>
                    </w:rPr>
                  </w:pPr>
                  <w:r>
                    <w:rPr>
                      <w:rFonts w:ascii="Times New Roman" w:hAnsi="Times New Roman"/>
                      <w:color w:val="000000" w:themeColor="text1"/>
                      <w:szCs w:val="21"/>
                      <w:lang w:val="en-US"/>
                      <w14:textFill>
                        <w14:solidFill>
                          <w14:schemeClr w14:val="tx1"/>
                        </w14:solidFill>
                      </w14:textFill>
                    </w:rPr>
                    <w:t>（L×W×H）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40" w:type="dxa"/>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活性炭吸附箱横截面</w:t>
                  </w:r>
                  <w:r>
                    <w:rPr>
                      <w:rFonts w:ascii="Times New Roman" w:hAnsi="Times New Roman" w:cs="Times New Roman"/>
                      <w:color w:val="000000" w:themeColor="text1"/>
                      <w14:textFill>
                        <w14:solidFill>
                          <w14:schemeClr w14:val="tx1"/>
                        </w14:solidFill>
                      </w14:textFill>
                    </w:rPr>
                    <w:t>风速</w:t>
                  </w:r>
                </w:p>
              </w:tc>
              <w:tc>
                <w:tcPr>
                  <w:tcW w:w="3940" w:type="dxa"/>
                  <w:gridSpan w:val="2"/>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0.6~0.7</w:t>
                  </w:r>
                  <w:r>
                    <w:rPr>
                      <w:rFonts w:ascii="Times New Roman" w:hAnsi="Times New Roman" w:cs="Times New Roman"/>
                      <w:color w:val="000000" w:themeColor="text1"/>
                      <w14:textFill>
                        <w14:solidFill>
                          <w14:schemeClr w14:val="tx1"/>
                        </w14:solidFill>
                      </w14:textFill>
                    </w:rPr>
                    <w:t>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40" w:type="dxa"/>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活性炭风阻</w:t>
                  </w:r>
                </w:p>
              </w:tc>
              <w:tc>
                <w:tcPr>
                  <w:tcW w:w="3940" w:type="dxa"/>
                  <w:gridSpan w:val="2"/>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ascii="Times New Roman" w:hAnsi="Times New Roman" w:cs="Times New Roman"/>
                      <w:color w:val="000000" w:themeColor="text1"/>
                      <w14:textFill>
                        <w14:solidFill>
                          <w14:schemeClr w14:val="tx1"/>
                        </w14:solidFill>
                      </w14:textFill>
                    </w:rPr>
                    <w:t>300Pa</w:t>
                  </w:r>
                  <w:r>
                    <w:rPr>
                      <w:rFonts w:hint="eastAsia" w:ascii="Times New Roman" w:hAnsi="Times New Roman" w:cs="Times New Roman"/>
                      <w:color w:val="000000" w:themeColor="text1"/>
                      <w:lang w:val="en-US"/>
                      <w14:textFill>
                        <w14:solidFill>
                          <w14:schemeClr w14:val="tx1"/>
                        </w14:solidFill>
                      </w14:textFill>
                    </w:rPr>
                    <w:t>/10cm,30cm厚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40" w:type="dxa"/>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ascii="Times New Roman" w:hAnsi="Times New Roman" w:cs="Times New Roman"/>
                      <w:color w:val="000000" w:themeColor="text1"/>
                      <w14:textFill>
                        <w14:solidFill>
                          <w14:schemeClr w14:val="tx1"/>
                        </w14:solidFill>
                      </w14:textFill>
                    </w:rPr>
                    <w:t>活性炭类型</w:t>
                  </w:r>
                </w:p>
              </w:tc>
              <w:tc>
                <w:tcPr>
                  <w:tcW w:w="3940" w:type="dxa"/>
                  <w:gridSpan w:val="2"/>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蜂窝</w:t>
                  </w:r>
                  <w:r>
                    <w:rPr>
                      <w:rFonts w:ascii="Times New Roman" w:hAnsi="Times New Roman" w:cs="Times New Roman"/>
                      <w:color w:val="000000" w:themeColor="text1"/>
                      <w14:textFill>
                        <w14:solidFill>
                          <w14:schemeClr w14:val="tx1"/>
                        </w14:solidFill>
                      </w14:textFill>
                    </w:rPr>
                    <w:t>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40" w:type="dxa"/>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比表面积</w:t>
                  </w:r>
                </w:p>
              </w:tc>
              <w:tc>
                <w:tcPr>
                  <w:tcW w:w="3940" w:type="dxa"/>
                  <w:gridSpan w:val="2"/>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750m</w:t>
                  </w:r>
                  <w:r>
                    <w:rPr>
                      <w:rFonts w:hint="eastAsia" w:ascii="Times New Roman" w:hAnsi="Times New Roman" w:cs="Times New Roman"/>
                      <w:color w:val="000000" w:themeColor="text1"/>
                      <w:vertAlign w:val="superscript"/>
                      <w:lang w:val="en-US"/>
                      <w14:textFill>
                        <w14:solidFill>
                          <w14:schemeClr w14:val="tx1"/>
                        </w14:solidFill>
                      </w14:textFill>
                    </w:rPr>
                    <w:t>2</w:t>
                  </w:r>
                  <w:r>
                    <w:rPr>
                      <w:rFonts w:hint="eastAsia" w:ascii="Times New Roman" w:hAnsi="Times New Roman" w:cs="Times New Roman"/>
                      <w:color w:val="000000" w:themeColor="text1"/>
                      <w:lang w:val="en-US"/>
                      <w14:textFill>
                        <w14:solidFill>
                          <w14:schemeClr w14:val="tx1"/>
                        </w14:solidFill>
                      </w14:textFill>
                    </w:rPr>
                    <w:t>/g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40" w:type="dxa"/>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蜂窝</w:t>
                  </w:r>
                  <w:r>
                    <w:rPr>
                      <w:rFonts w:ascii="Times New Roman" w:hAnsi="Times New Roman" w:cs="Times New Roman"/>
                      <w:color w:val="000000" w:themeColor="text1"/>
                      <w14:textFill>
                        <w14:solidFill>
                          <w14:schemeClr w14:val="tx1"/>
                        </w14:solidFill>
                      </w14:textFill>
                    </w:rPr>
                    <w:t>炭填充量</w:t>
                  </w:r>
                </w:p>
              </w:tc>
              <w:tc>
                <w:tcPr>
                  <w:tcW w:w="1970" w:type="dxa"/>
                  <w:vAlign w:val="center"/>
                </w:tcPr>
                <w:p>
                  <w:pPr>
                    <w:pStyle w:val="60"/>
                    <w:adjustRightInd w:val="0"/>
                    <w:snapToGrid w:val="0"/>
                    <w:jc w:val="center"/>
                    <w:rPr>
                      <w:rFonts w:ascii="Times New Roman" w:hAnsi="Times New Roman" w:cs="Times New Roman"/>
                      <w:b/>
                      <w:bCs/>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100kg</w:t>
                  </w:r>
                </w:p>
              </w:tc>
              <w:tc>
                <w:tcPr>
                  <w:tcW w:w="1970" w:type="dxa"/>
                  <w:vAlign w:val="center"/>
                </w:tcPr>
                <w:p>
                  <w:pPr>
                    <w:pStyle w:val="60"/>
                    <w:adjustRightInd w:val="0"/>
                    <w:snapToGrid w:val="0"/>
                    <w:jc w:val="center"/>
                    <w:rPr>
                      <w:rFonts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100kg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40" w:type="dxa"/>
                  <w:vAlign w:val="center"/>
                </w:tcPr>
                <w:p>
                  <w:pPr>
                    <w:pStyle w:val="60"/>
                    <w:adjustRightInd w:val="0"/>
                    <w:snapToGrid w:val="0"/>
                    <w:jc w:val="center"/>
                    <w:rPr>
                      <w:rFonts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碘值</w:t>
                  </w:r>
                </w:p>
              </w:tc>
              <w:tc>
                <w:tcPr>
                  <w:tcW w:w="3940" w:type="dxa"/>
                  <w:gridSpan w:val="2"/>
                  <w:vAlign w:val="center"/>
                </w:tcPr>
                <w:p>
                  <w:pPr>
                    <w:pStyle w:val="60"/>
                    <w:adjustRightInd w:val="0"/>
                    <w:snapToGrid w:val="0"/>
                    <w:jc w:val="center"/>
                    <w:rPr>
                      <w:rFonts w:ascii="Times New Roman" w:hAnsi="Times New Roman" w:eastAsia="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≥650Mg/g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40" w:type="dxa"/>
                  <w:vAlign w:val="center"/>
                </w:tcPr>
                <w:p>
                  <w:pPr>
                    <w:pStyle w:val="60"/>
                    <w:adjustRightInd w:val="0"/>
                    <w:snapToGrid w:val="0"/>
                    <w:jc w:val="center"/>
                    <w:rPr>
                      <w:rFonts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进气温度</w:t>
                  </w:r>
                </w:p>
              </w:tc>
              <w:tc>
                <w:tcPr>
                  <w:tcW w:w="3940" w:type="dxa"/>
                  <w:gridSpan w:val="2"/>
                  <w:vAlign w:val="center"/>
                </w:tcPr>
                <w:p>
                  <w:pPr>
                    <w:pStyle w:val="60"/>
                    <w:adjustRightInd w:val="0"/>
                    <w:snapToGrid w:val="0"/>
                    <w:jc w:val="center"/>
                    <w:rPr>
                      <w:rFonts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14:textFill>
                        <w14:solidFill>
                          <w14:schemeClr w14:val="tx1"/>
                        </w14:solidFill>
                      </w14:textFill>
                    </w:rPr>
                    <w:t>＜40℃</w:t>
                  </w:r>
                </w:p>
              </w:tc>
            </w:tr>
          </w:tbl>
          <w:p>
            <w:pPr>
              <w:pStyle w:val="83"/>
              <w:snapToGrid w:val="0"/>
              <w:spacing w:line="500" w:lineRule="exact"/>
              <w:ind w:firstLine="480" w:firstLineChars="200"/>
              <w:rPr>
                <w:snapToGrid w:val="0"/>
                <w:color w:val="000000" w:themeColor="text1"/>
                <w:w w:val="100"/>
                <w:sz w:val="24"/>
                <w:szCs w:val="24"/>
                <w14:textFill>
                  <w14:solidFill>
                    <w14:schemeClr w14:val="tx1"/>
                  </w14:solidFill>
                </w14:textFill>
              </w:rPr>
            </w:pPr>
            <w:r>
              <w:rPr>
                <w:snapToGrid w:val="0"/>
                <w:color w:val="000000" w:themeColor="text1"/>
                <w:w w:val="100"/>
                <w:sz w:val="24"/>
                <w:szCs w:val="24"/>
                <w14:textFill>
                  <w14:solidFill>
                    <w14:schemeClr w14:val="tx1"/>
                  </w14:solidFill>
                </w14:textFill>
              </w:rPr>
              <w:t>根据《吸附法工业有机废气治理工程技术规范》（HJ2026-2013），蜂窝状煤质活性炭吸附废气时，气体流速宜低于1.2m/s。本项目有机废气采用二级活性炭吸附装置，设计风量为10000m</w:t>
            </w:r>
            <w:r>
              <w:rPr>
                <w:snapToGrid w:val="0"/>
                <w:color w:val="000000" w:themeColor="text1"/>
                <w:w w:val="100"/>
                <w:sz w:val="24"/>
                <w:szCs w:val="24"/>
                <w:vertAlign w:val="superscript"/>
                <w14:textFill>
                  <w14:solidFill>
                    <w14:schemeClr w14:val="tx1"/>
                  </w14:solidFill>
                </w14:textFill>
              </w:rPr>
              <w:t>3</w:t>
            </w:r>
            <w:r>
              <w:rPr>
                <w:snapToGrid w:val="0"/>
                <w:color w:val="000000" w:themeColor="text1"/>
                <w:w w:val="100"/>
                <w:sz w:val="24"/>
                <w:szCs w:val="24"/>
                <w14:textFill>
                  <w14:solidFill>
                    <w14:schemeClr w14:val="tx1"/>
                  </w14:solidFill>
                </w14:textFill>
              </w:rPr>
              <w:t>/h，即2.78m</w:t>
            </w:r>
            <w:r>
              <w:rPr>
                <w:snapToGrid w:val="0"/>
                <w:color w:val="000000" w:themeColor="text1"/>
                <w:w w:val="100"/>
                <w:sz w:val="24"/>
                <w:szCs w:val="24"/>
                <w:vertAlign w:val="superscript"/>
                <w14:textFill>
                  <w14:solidFill>
                    <w14:schemeClr w14:val="tx1"/>
                  </w14:solidFill>
                </w14:textFill>
              </w:rPr>
              <w:t>3</w:t>
            </w:r>
            <w:r>
              <w:rPr>
                <w:snapToGrid w:val="0"/>
                <w:color w:val="000000" w:themeColor="text1"/>
                <w:w w:val="100"/>
                <w:sz w:val="24"/>
                <w:szCs w:val="24"/>
                <w14:textFill>
                  <w14:solidFill>
                    <w14:schemeClr w14:val="tx1"/>
                  </w14:solidFill>
                </w14:textFill>
              </w:rPr>
              <w:t>/s；活性炭箱填充尺寸设计为L2.1m×W1.8m×H1m*2级；则空塔风速V空塔=2.78/L/W=2.78/2.1/1.8=0.74m/s；过滤风速V过滤=2.78/L/W/0.75=2.78/2.1/1.8/0.75=0.99m/s＜1.2m/s；因此，本项目有机废气采用的二级活性炭吸附装置，风速、填充量合理。</w:t>
            </w:r>
          </w:p>
          <w:p>
            <w:pPr>
              <w:pStyle w:val="83"/>
              <w:snapToGrid w:val="0"/>
              <w:spacing w:line="500" w:lineRule="exact"/>
              <w:ind w:firstLine="482" w:firstLineChars="200"/>
              <w:rPr>
                <w:b/>
                <w:bCs/>
                <w:snapToGrid w:val="0"/>
                <w:color w:val="000000" w:themeColor="text1"/>
                <w:w w:val="100"/>
                <w:sz w:val="24"/>
                <w:szCs w:val="24"/>
                <w14:textFill>
                  <w14:solidFill>
                    <w14:schemeClr w14:val="tx1"/>
                  </w14:solidFill>
                </w14:textFill>
              </w:rPr>
            </w:pPr>
            <w:r>
              <w:rPr>
                <w:b/>
                <w:bCs/>
                <w:snapToGrid w:val="0"/>
                <w:color w:val="000000" w:themeColor="text1"/>
                <w:w w:val="100"/>
                <w:sz w:val="24"/>
                <w:szCs w:val="24"/>
                <w14:textFill>
                  <w14:solidFill>
                    <w14:schemeClr w14:val="tx1"/>
                  </w14:solidFill>
                </w14:textFill>
              </w:rPr>
              <w:t>3）活性炭更换周期计算</w:t>
            </w:r>
          </w:p>
          <w:p>
            <w:pPr>
              <w:pStyle w:val="16"/>
              <w:widowControl w:val="0"/>
              <w:adjustRightInd w:val="0"/>
              <w:spacing w:before="0" w:after="0" w:line="500" w:lineRule="exact"/>
              <w:ind w:firstLine="480" w:firstLineChars="200"/>
              <w:rPr>
                <w:color w:val="000000" w:themeColor="text1"/>
                <w:sz w:val="21"/>
                <w:szCs w:val="21"/>
                <w14:textFill>
                  <w14:solidFill>
                    <w14:schemeClr w14:val="tx1"/>
                  </w14:solidFill>
                </w14:textFill>
              </w:rPr>
            </w:pPr>
            <w:r>
              <w:rPr>
                <w:color w:val="000000" w:themeColor="text1"/>
                <w:sz w:val="24"/>
                <w:szCs w:val="24"/>
                <w14:textFill>
                  <w14:solidFill>
                    <w14:schemeClr w14:val="tx1"/>
                  </w14:solidFill>
                </w14:textFill>
              </w:rPr>
              <w:t>参照《省生态环境厅关于将排污单位活性炭使用更换纳入排污许可管理的通知》相关要求，活性炭更换频次计算过程如下：</w:t>
            </w:r>
          </w:p>
          <w:p>
            <w:pPr>
              <w:pStyle w:val="16"/>
              <w:keepNext w:val="0"/>
              <w:keepLines w:val="0"/>
              <w:pageBreakBefore w:val="0"/>
              <w:widowControl w:val="0"/>
              <w:kinsoku/>
              <w:wordWrap/>
              <w:overflowPunct/>
              <w:topLinePunct w:val="0"/>
              <w:autoSpaceDE/>
              <w:autoSpaceDN/>
              <w:bidi w:val="0"/>
              <w:adjustRightInd w:val="0"/>
              <w:snapToGrid w:val="0"/>
              <w:spacing w:before="0" w:after="0" w:line="500" w:lineRule="exact"/>
              <w:ind w:right="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T=m×s÷(c×10</w:t>
            </w:r>
            <w:r>
              <w:rPr>
                <w:rFonts w:hint="eastAsia"/>
                <w:color w:val="000000" w:themeColor="text1"/>
                <w:sz w:val="21"/>
                <w:szCs w:val="21"/>
                <w:vertAlign w:val="superscript"/>
                <w14:textFill>
                  <w14:solidFill>
                    <w14:schemeClr w14:val="tx1"/>
                  </w14:solidFill>
                </w14:textFill>
              </w:rPr>
              <w:t>-6</w:t>
            </w:r>
            <w:r>
              <w:rPr>
                <w:rFonts w:hint="eastAsia"/>
                <w:color w:val="000000" w:themeColor="text1"/>
                <w:sz w:val="21"/>
                <w:szCs w:val="21"/>
                <w14:textFill>
                  <w14:solidFill>
                    <w14:schemeClr w14:val="tx1"/>
                  </w14:solidFill>
                </w14:textFill>
              </w:rPr>
              <w:t>×Q×t)</w:t>
            </w:r>
          </w:p>
          <w:p>
            <w:pPr>
              <w:adjustRightInd w:val="0"/>
              <w:snapToGrid w:val="0"/>
              <w:spacing w:line="500" w:lineRule="exact"/>
              <w:ind w:firstLine="480" w:firstLineChars="200"/>
              <w:rPr>
                <w:sz w:val="24"/>
              </w:rPr>
            </w:pPr>
            <w:r>
              <w:rPr>
                <w:rFonts w:hint="eastAsia"/>
                <w:sz w:val="24"/>
              </w:rPr>
              <w:t>式中：</w:t>
            </w:r>
          </w:p>
          <w:p>
            <w:pPr>
              <w:adjustRightInd w:val="0"/>
              <w:snapToGrid w:val="0"/>
              <w:spacing w:line="500" w:lineRule="exact"/>
              <w:ind w:firstLine="480" w:firstLineChars="200"/>
              <w:rPr>
                <w:sz w:val="24"/>
              </w:rPr>
            </w:pPr>
            <w:r>
              <w:rPr>
                <w:rFonts w:hint="eastAsia"/>
                <w:sz w:val="24"/>
              </w:rPr>
              <w:t>T—更换周期，天</w:t>
            </w:r>
          </w:p>
          <w:p>
            <w:pPr>
              <w:adjustRightInd w:val="0"/>
              <w:snapToGrid w:val="0"/>
              <w:spacing w:line="500" w:lineRule="exact"/>
              <w:ind w:firstLine="480" w:firstLineChars="200"/>
              <w:rPr>
                <w:sz w:val="24"/>
              </w:rPr>
            </w:pPr>
            <w:r>
              <w:rPr>
                <w:rFonts w:hint="eastAsia"/>
                <w:sz w:val="24"/>
              </w:rPr>
              <w:t>m—活性炭的用量，kg</w:t>
            </w:r>
          </w:p>
          <w:p>
            <w:pPr>
              <w:adjustRightInd w:val="0"/>
              <w:snapToGrid w:val="0"/>
              <w:spacing w:line="500" w:lineRule="exact"/>
              <w:ind w:firstLine="480" w:firstLineChars="200"/>
              <w:rPr>
                <w:sz w:val="24"/>
              </w:rPr>
            </w:pPr>
            <w:r>
              <w:rPr>
                <w:rFonts w:hint="eastAsia"/>
                <w:sz w:val="24"/>
              </w:rPr>
              <w:t>s—动态吸附量，一般取10%</w:t>
            </w:r>
          </w:p>
          <w:p>
            <w:pPr>
              <w:adjustRightInd w:val="0"/>
              <w:snapToGrid w:val="0"/>
              <w:spacing w:line="500" w:lineRule="exact"/>
              <w:ind w:firstLine="480" w:firstLineChars="200"/>
              <w:rPr>
                <w:sz w:val="24"/>
              </w:rPr>
            </w:pPr>
            <w:r>
              <w:rPr>
                <w:rFonts w:hint="eastAsia"/>
                <w:sz w:val="24"/>
              </w:rPr>
              <w:t>c—活性炭削减的VOCs浓度，mg/m</w:t>
            </w:r>
            <w:r>
              <w:rPr>
                <w:rFonts w:hint="eastAsia"/>
                <w:sz w:val="24"/>
                <w:vertAlign w:val="superscript"/>
              </w:rPr>
              <w:t>3</w:t>
            </w:r>
          </w:p>
          <w:p>
            <w:pPr>
              <w:adjustRightInd w:val="0"/>
              <w:snapToGrid w:val="0"/>
              <w:spacing w:line="500" w:lineRule="exact"/>
              <w:ind w:firstLine="480" w:firstLineChars="200"/>
              <w:rPr>
                <w:sz w:val="24"/>
              </w:rPr>
            </w:pPr>
            <w:r>
              <w:rPr>
                <w:rFonts w:hint="eastAsia"/>
                <w:sz w:val="24"/>
              </w:rPr>
              <w:t>Q—风量，单位/h</w:t>
            </w:r>
          </w:p>
          <w:p>
            <w:pPr>
              <w:adjustRightInd w:val="0"/>
              <w:snapToGrid w:val="0"/>
              <w:spacing w:line="500" w:lineRule="exact"/>
              <w:ind w:firstLine="480" w:firstLineChars="200"/>
              <w:rPr>
                <w:sz w:val="24"/>
              </w:rPr>
            </w:pPr>
            <w:r>
              <w:rPr>
                <w:rFonts w:hint="eastAsia"/>
                <w:sz w:val="24"/>
              </w:rPr>
              <w:t>t—运行时间，单位h/d</w:t>
            </w:r>
          </w:p>
          <w:p>
            <w:pPr>
              <w:adjustRightInd w:val="0"/>
              <w:snapToGrid w:val="0"/>
              <w:spacing w:line="500" w:lineRule="exact"/>
              <w:ind w:firstLine="480" w:firstLineChars="200"/>
              <w:rPr>
                <w:sz w:val="24"/>
              </w:rPr>
            </w:pPr>
            <w:r>
              <w:rPr>
                <w:sz w:val="24"/>
              </w:rPr>
              <w:t>根据《省生态环境厅关于深入开展涉VOCs治理重点工作核查的通知》（苏环办</w:t>
            </w:r>
            <w:r>
              <w:rPr>
                <w:rFonts w:hint="eastAsia"/>
                <w:sz w:val="24"/>
              </w:rPr>
              <w:t>〔</w:t>
            </w:r>
            <w:r>
              <w:rPr>
                <w:sz w:val="24"/>
              </w:rPr>
              <w:t>2022</w:t>
            </w:r>
            <w:r>
              <w:rPr>
                <w:rFonts w:hint="eastAsia"/>
                <w:sz w:val="24"/>
              </w:rPr>
              <w:t>〕</w:t>
            </w:r>
            <w:r>
              <w:rPr>
                <w:sz w:val="24"/>
              </w:rPr>
              <w:t>218号），活性炭更换周期一般不应超过累计运行500小时或3个月，更换周期计算按《省生态环境厅关于将排污单位活性炭使用更换纳入排污许可管理的通知》有关要求执行。</w:t>
            </w:r>
            <w:r>
              <w:rPr>
                <w:color w:val="0000FF"/>
                <w:sz w:val="24"/>
              </w:rPr>
              <w:t>根据《省生态环境厅关于将排污单位活性炭使用更换纳入排污许可管理的通知》计算</w:t>
            </w:r>
            <w:r>
              <w:rPr>
                <w:rFonts w:hint="eastAsia"/>
                <w:color w:val="0000FF"/>
                <w:sz w:val="24"/>
                <w:lang w:val="en-US" w:eastAsia="zh-CN"/>
              </w:rPr>
              <w:t>结果，</w:t>
            </w:r>
            <w:r>
              <w:rPr>
                <w:color w:val="0000FF"/>
                <w:sz w:val="24"/>
              </w:rPr>
              <w:t>本项目活性炭吸附装置</w:t>
            </w:r>
            <w:r>
              <w:rPr>
                <w:rFonts w:hint="eastAsia"/>
                <w:color w:val="0000FF"/>
                <w:sz w:val="24"/>
                <w:lang w:val="en-US" w:eastAsia="zh-CN"/>
              </w:rPr>
              <w:t>活性炭</w:t>
            </w:r>
            <w:r>
              <w:rPr>
                <w:color w:val="0000FF"/>
                <w:sz w:val="24"/>
              </w:rPr>
              <w:t>的更换周期为</w:t>
            </w:r>
            <w:r>
              <w:rPr>
                <w:rFonts w:hint="eastAsia"/>
                <w:sz w:val="24"/>
              </w:rPr>
              <w:t>DA002排气筒26天、其余有机废气排气筒62天</w:t>
            </w:r>
            <w:r>
              <w:rPr>
                <w:sz w:val="24"/>
              </w:rPr>
              <w:t>。</w:t>
            </w:r>
          </w:p>
          <w:p>
            <w:pPr>
              <w:pStyle w:val="16"/>
              <w:widowControl w:val="0"/>
              <w:adjustRightInd w:val="0"/>
              <w:spacing w:before="0" w:after="0" w:line="500" w:lineRule="exact"/>
              <w:ind w:right="0" w:firstLine="482" w:firstLineChars="200"/>
              <w:rPr>
                <w:b/>
                <w:bCs/>
                <w:sz w:val="24"/>
                <w:szCs w:val="24"/>
              </w:rPr>
            </w:pPr>
            <w:r>
              <w:rPr>
                <w:rFonts w:hint="eastAsia"/>
                <w:b/>
                <w:bCs/>
                <w:sz w:val="24"/>
                <w:szCs w:val="24"/>
              </w:rPr>
              <w:t>【排气筒高度合理性分析】</w:t>
            </w:r>
          </w:p>
          <w:p>
            <w:pPr>
              <w:pStyle w:val="16"/>
              <w:widowControl w:val="0"/>
              <w:adjustRightInd w:val="0"/>
              <w:spacing w:before="0" w:after="0" w:line="500" w:lineRule="exact"/>
              <w:ind w:right="0" w:firstLine="480" w:firstLineChars="200"/>
              <w:rPr>
                <w:sz w:val="24"/>
                <w:szCs w:val="24"/>
              </w:rPr>
            </w:pPr>
            <w:r>
              <w:rPr>
                <w:rFonts w:hint="eastAsia"/>
                <w:sz w:val="24"/>
                <w:szCs w:val="24"/>
              </w:rPr>
              <w:t>根据</w:t>
            </w:r>
            <w:r>
              <w:rPr>
                <w:rFonts w:hint="eastAsia"/>
                <w:color w:val="0000FF"/>
                <w:sz w:val="24"/>
                <w:szCs w:val="24"/>
                <w:lang w:val="en-US" w:eastAsia="zh-CN"/>
              </w:rPr>
              <w:t>江苏省</w:t>
            </w:r>
            <w:r>
              <w:rPr>
                <w:rFonts w:hint="eastAsia"/>
                <w:sz w:val="24"/>
                <w:szCs w:val="24"/>
              </w:rPr>
              <w:t>《大气污染物综合排放标准》（DB32/4041-2021）要求，排气筒的高度应遵守排放速率标准值，建设项目设置排气筒高度均能满足排放速率标准要求；新建污染物的排气筒一般不能低于</w:t>
            </w:r>
            <w:r>
              <w:rPr>
                <w:sz w:val="24"/>
                <w:szCs w:val="24"/>
              </w:rPr>
              <w:t>15m</w:t>
            </w:r>
            <w:r>
              <w:rPr>
                <w:rFonts w:hint="eastAsia"/>
                <w:sz w:val="24"/>
                <w:szCs w:val="24"/>
              </w:rPr>
              <w:t>，建设项目设置的排气筒高度为15</w:t>
            </w:r>
            <w:r>
              <w:rPr>
                <w:sz w:val="24"/>
                <w:szCs w:val="24"/>
              </w:rPr>
              <w:t>m</w:t>
            </w:r>
            <w:r>
              <w:rPr>
                <w:rFonts w:hint="eastAsia"/>
                <w:sz w:val="24"/>
                <w:szCs w:val="24"/>
              </w:rPr>
              <w:t>并设置了采样平台及采样孔。因此，项目排气筒高度设置是合理可行的。</w:t>
            </w:r>
          </w:p>
          <w:p>
            <w:pPr>
              <w:pStyle w:val="16"/>
              <w:widowControl w:val="0"/>
              <w:adjustRightInd w:val="0"/>
              <w:spacing w:before="0" w:after="0" w:line="500" w:lineRule="exact"/>
              <w:ind w:right="0" w:firstLine="482" w:firstLineChars="200"/>
              <w:rPr>
                <w:b/>
                <w:bCs/>
                <w:sz w:val="24"/>
                <w:szCs w:val="24"/>
              </w:rPr>
            </w:pPr>
            <w:r>
              <w:rPr>
                <w:rFonts w:hint="eastAsia"/>
                <w:b/>
                <w:bCs/>
                <w:sz w:val="24"/>
                <w:szCs w:val="24"/>
              </w:rPr>
              <w:t>【污染物达标情况分析】</w:t>
            </w:r>
          </w:p>
          <w:p>
            <w:pPr>
              <w:pStyle w:val="16"/>
              <w:widowControl w:val="0"/>
              <w:adjustRightInd w:val="0"/>
              <w:spacing w:before="0" w:after="0" w:line="500" w:lineRule="exact"/>
              <w:ind w:right="0" w:firstLine="480" w:firstLineChars="200"/>
              <w:rPr>
                <w:sz w:val="24"/>
                <w:szCs w:val="24"/>
              </w:rPr>
            </w:pPr>
            <w:r>
              <w:rPr>
                <w:rFonts w:hint="eastAsia"/>
                <w:sz w:val="24"/>
                <w:szCs w:val="24"/>
              </w:rPr>
              <w:t>项目</w:t>
            </w:r>
            <w:r>
              <w:rPr>
                <w:rFonts w:hint="eastAsia"/>
                <w:sz w:val="24"/>
                <w:szCs w:val="24"/>
                <w:lang w:val="en-US" w:eastAsia="zh-CN"/>
              </w:rPr>
              <w:t>压铸产生的颗粒物和</w:t>
            </w:r>
            <w:r>
              <w:rPr>
                <w:rFonts w:hint="eastAsia"/>
                <w:sz w:val="24"/>
                <w:szCs w:val="24"/>
              </w:rPr>
              <w:t>非甲烷总烃废气经废气处理措施处理后排放均能满足《铸造工业大气污染物排放标准》（GB39726-2020</w:t>
            </w:r>
            <w:r>
              <w:rPr>
                <w:rFonts w:hint="eastAsia"/>
                <w:sz w:val="24"/>
                <w:szCs w:val="24"/>
                <w:lang w:eastAsia="zh-CN"/>
              </w:rPr>
              <w:t>）</w:t>
            </w:r>
            <w:r>
              <w:rPr>
                <w:rFonts w:hint="eastAsia"/>
                <w:sz w:val="24"/>
                <w:szCs w:val="24"/>
              </w:rPr>
              <w:t>标准中相关要求</w:t>
            </w:r>
            <w:r>
              <w:rPr>
                <w:rFonts w:hint="eastAsia"/>
                <w:sz w:val="24"/>
                <w:szCs w:val="24"/>
                <w:lang w:eastAsia="zh-CN"/>
              </w:rPr>
              <w:t>，</w:t>
            </w:r>
            <w:r>
              <w:rPr>
                <w:rFonts w:hint="eastAsia"/>
                <w:sz w:val="24"/>
                <w:szCs w:val="24"/>
                <w:lang w:val="en-US" w:eastAsia="zh-CN"/>
              </w:rPr>
              <w:t>喷塑产生的颗粒物和</w:t>
            </w:r>
            <w:r>
              <w:rPr>
                <w:rFonts w:hint="eastAsia"/>
                <w:sz w:val="24"/>
                <w:szCs w:val="24"/>
              </w:rPr>
              <w:t>非甲烷总烃</w:t>
            </w:r>
            <w:r>
              <w:rPr>
                <w:rFonts w:hint="eastAsia"/>
                <w:sz w:val="24"/>
                <w:szCs w:val="24"/>
                <w:lang w:val="en-US" w:eastAsia="zh-CN"/>
              </w:rPr>
              <w:t>以及印字产生的非甲烷总烃</w:t>
            </w:r>
            <w:r>
              <w:rPr>
                <w:rFonts w:hint="eastAsia"/>
                <w:sz w:val="24"/>
                <w:szCs w:val="24"/>
              </w:rPr>
              <w:t>废气经废气处理措施处理后排放均能满足</w:t>
            </w:r>
            <w:r>
              <w:rPr>
                <w:rFonts w:hint="eastAsia"/>
                <w:color w:val="0000FF"/>
                <w:sz w:val="24"/>
                <w:szCs w:val="24"/>
                <w:lang w:val="en-US" w:eastAsia="zh-CN"/>
              </w:rPr>
              <w:t>江苏省</w:t>
            </w:r>
            <w:r>
              <w:rPr>
                <w:rFonts w:hint="eastAsia"/>
                <w:sz w:val="24"/>
                <w:szCs w:val="24"/>
              </w:rPr>
              <w:t>《大气污染物综合排放标准》（DB32/4041-2021）标准中相关要求</w:t>
            </w:r>
            <w:r>
              <w:rPr>
                <w:rFonts w:hint="eastAsia"/>
                <w:sz w:val="24"/>
                <w:szCs w:val="24"/>
                <w:lang w:eastAsia="zh-CN"/>
              </w:rPr>
              <w:t>，</w:t>
            </w:r>
            <w:r>
              <w:rPr>
                <w:rFonts w:hint="eastAsia" w:cs="Times New Roman"/>
                <w:sz w:val="24"/>
                <w:szCs w:val="24"/>
                <w:lang w:val="en-US" w:eastAsia="zh-CN"/>
              </w:rPr>
              <w:t>挤管、热粘产生的非甲烷总烃废气</w:t>
            </w:r>
            <w:r>
              <w:rPr>
                <w:rFonts w:hint="eastAsia"/>
                <w:sz w:val="24"/>
                <w:szCs w:val="24"/>
              </w:rPr>
              <w:t>经废气处理措施处理后排放</w:t>
            </w:r>
            <w:r>
              <w:rPr>
                <w:rFonts w:hint="eastAsia"/>
                <w:sz w:val="24"/>
                <w:szCs w:val="24"/>
                <w:lang w:val="en-US" w:eastAsia="zh-CN"/>
              </w:rPr>
              <w:t>能满足</w:t>
            </w:r>
            <w:r>
              <w:rPr>
                <w:rFonts w:hint="eastAsia"/>
                <w:kern w:val="0"/>
                <w:sz w:val="24"/>
                <w:szCs w:val="24"/>
                <w:shd w:val="clear"/>
                <w:lang w:eastAsia="zh-CN"/>
              </w:rPr>
              <w:t>《合成树脂工业污染物排放标准》（GB31572-2015）</w:t>
            </w:r>
            <w:r>
              <w:rPr>
                <w:rFonts w:hint="eastAsia"/>
                <w:sz w:val="24"/>
                <w:szCs w:val="24"/>
              </w:rPr>
              <w:t>标准中相关要求。</w:t>
            </w:r>
          </w:p>
          <w:p>
            <w:pPr>
              <w:adjustRightInd w:val="0"/>
              <w:snapToGrid w:val="0"/>
              <w:spacing w:line="500" w:lineRule="exact"/>
              <w:ind w:firstLine="482" w:firstLineChars="200"/>
              <w:rPr>
                <w:b/>
                <w:sz w:val="24"/>
              </w:rPr>
            </w:pPr>
            <w:r>
              <w:rPr>
                <w:rFonts w:hint="eastAsia"/>
                <w:b/>
                <w:sz w:val="24"/>
              </w:rPr>
              <w:t>2</w:t>
            </w:r>
            <w:r>
              <w:rPr>
                <w:b/>
                <w:sz w:val="24"/>
              </w:rPr>
              <w:t>、</w:t>
            </w:r>
            <w:r>
              <w:rPr>
                <w:rFonts w:hint="eastAsia"/>
                <w:b/>
                <w:sz w:val="24"/>
              </w:rPr>
              <w:t>废水环境影响及防治措施分析</w:t>
            </w:r>
          </w:p>
          <w:p>
            <w:pPr>
              <w:adjustRightInd w:val="0"/>
              <w:snapToGrid w:val="0"/>
              <w:spacing w:line="500" w:lineRule="exact"/>
              <w:ind w:firstLine="482" w:firstLineChars="200"/>
              <w:rPr>
                <w:b/>
                <w:sz w:val="24"/>
              </w:rPr>
            </w:pPr>
            <w:r>
              <w:rPr>
                <w:rFonts w:hint="eastAsia"/>
                <w:b/>
                <w:sz w:val="24"/>
              </w:rPr>
              <w:t>（1）废水源强及污染防治措施</w:t>
            </w:r>
          </w:p>
          <w:p>
            <w:pPr>
              <w:adjustRightInd w:val="0"/>
              <w:snapToGrid w:val="0"/>
              <w:spacing w:line="500" w:lineRule="exact"/>
              <w:ind w:firstLine="480" w:firstLineChars="200"/>
              <w:rPr>
                <w:sz w:val="24"/>
              </w:rPr>
            </w:pPr>
            <w:r>
              <w:rPr>
                <w:rFonts w:hint="eastAsia"/>
                <w:sz w:val="24"/>
              </w:rPr>
              <w:t>本项目废水主要为生活污水</w:t>
            </w:r>
            <w:r>
              <w:rPr>
                <w:rFonts w:hint="eastAsia"/>
                <w:color w:val="0000FF"/>
                <w:sz w:val="24"/>
                <w:lang w:eastAsia="zh-CN"/>
              </w:rPr>
              <w:t>，</w:t>
            </w:r>
            <w:r>
              <w:rPr>
                <w:rFonts w:hint="eastAsia"/>
                <w:sz w:val="24"/>
              </w:rPr>
              <w:t>无生产废水产生及排放。</w:t>
            </w:r>
          </w:p>
          <w:p>
            <w:pPr>
              <w:adjustRightInd w:val="0"/>
              <w:snapToGrid w:val="0"/>
              <w:spacing w:line="500" w:lineRule="exact"/>
              <w:ind w:firstLine="480" w:firstLineChars="200"/>
              <w:rPr>
                <w:sz w:val="24"/>
              </w:rPr>
            </w:pPr>
            <w:r>
              <w:rPr>
                <w:rFonts w:hint="eastAsia"/>
                <w:sz w:val="24"/>
              </w:rPr>
              <w:t>①员工生活污水</w:t>
            </w:r>
          </w:p>
          <w:p>
            <w:pPr>
              <w:adjustRightInd w:val="0"/>
              <w:snapToGrid w:val="0"/>
              <w:spacing w:line="500" w:lineRule="exact"/>
              <w:ind w:firstLine="480" w:firstLineChars="200"/>
              <w:rPr>
                <w:sz w:val="24"/>
              </w:rPr>
            </w:pPr>
            <w:r>
              <w:rPr>
                <w:sz w:val="24"/>
              </w:rPr>
              <w:t>项目职工</w:t>
            </w:r>
            <w:r>
              <w:rPr>
                <w:rFonts w:hint="eastAsia"/>
                <w:sz w:val="24"/>
              </w:rPr>
              <w:t>25</w:t>
            </w:r>
            <w:r>
              <w:rPr>
                <w:sz w:val="24"/>
              </w:rPr>
              <w:t>人，年工作300天，生活用水量按照</w:t>
            </w:r>
            <w:r>
              <w:rPr>
                <w:rFonts w:hint="eastAsia"/>
                <w:sz w:val="24"/>
              </w:rPr>
              <w:t>50</w:t>
            </w:r>
            <w:r>
              <w:rPr>
                <w:sz w:val="24"/>
              </w:rPr>
              <w:t>L/人·日，生活用水量</w:t>
            </w:r>
            <w:r>
              <w:rPr>
                <w:rFonts w:hint="eastAsia"/>
                <w:sz w:val="24"/>
              </w:rPr>
              <w:t>375</w:t>
            </w:r>
            <w:r>
              <w:rPr>
                <w:sz w:val="24"/>
              </w:rPr>
              <w:t>m</w:t>
            </w:r>
            <w:r>
              <w:rPr>
                <w:sz w:val="24"/>
                <w:vertAlign w:val="superscript"/>
              </w:rPr>
              <w:t>3</w:t>
            </w:r>
            <w:r>
              <w:rPr>
                <w:sz w:val="24"/>
              </w:rPr>
              <w:t>/a，排放量按照用水量80%计算，即</w:t>
            </w:r>
            <w:r>
              <w:rPr>
                <w:rFonts w:hint="eastAsia"/>
                <w:sz w:val="24"/>
              </w:rPr>
              <w:t>300</w:t>
            </w:r>
            <w:r>
              <w:rPr>
                <w:sz w:val="24"/>
              </w:rPr>
              <w:t>m</w:t>
            </w:r>
            <w:r>
              <w:rPr>
                <w:sz w:val="24"/>
                <w:vertAlign w:val="superscript"/>
              </w:rPr>
              <w:t>3</w:t>
            </w:r>
            <w:r>
              <w:rPr>
                <w:sz w:val="24"/>
              </w:rPr>
              <w:t>/a，主要污染物COD</w:t>
            </w:r>
            <w:r>
              <w:rPr>
                <w:rFonts w:hint="eastAsia"/>
                <w:sz w:val="24"/>
              </w:rPr>
              <w:t>400</w:t>
            </w:r>
            <w:r>
              <w:rPr>
                <w:sz w:val="24"/>
              </w:rPr>
              <w:t>mg/L、SS</w:t>
            </w:r>
            <w:r>
              <w:rPr>
                <w:rFonts w:hint="eastAsia"/>
                <w:sz w:val="24"/>
              </w:rPr>
              <w:t>250</w:t>
            </w:r>
            <w:r>
              <w:rPr>
                <w:sz w:val="24"/>
              </w:rPr>
              <w:t>mg/L、氨氮</w:t>
            </w:r>
            <w:r>
              <w:rPr>
                <w:rFonts w:hint="eastAsia"/>
                <w:sz w:val="24"/>
              </w:rPr>
              <w:t>25</w:t>
            </w:r>
            <w:r>
              <w:rPr>
                <w:sz w:val="24"/>
              </w:rPr>
              <w:t>mg/L、TN</w:t>
            </w:r>
            <w:r>
              <w:rPr>
                <w:rFonts w:hint="eastAsia"/>
                <w:sz w:val="24"/>
              </w:rPr>
              <w:t>35</w:t>
            </w:r>
            <w:r>
              <w:rPr>
                <w:sz w:val="24"/>
              </w:rPr>
              <w:t>mg/L、TP</w:t>
            </w:r>
            <w:r>
              <w:rPr>
                <w:rFonts w:hint="eastAsia"/>
                <w:sz w:val="24"/>
              </w:rPr>
              <w:t>3</w:t>
            </w:r>
            <w:r>
              <w:rPr>
                <w:sz w:val="24"/>
              </w:rPr>
              <w:t>mg/L。生活污水</w:t>
            </w:r>
            <w:r>
              <w:rPr>
                <w:rFonts w:hint="eastAsia"/>
                <w:sz w:val="24"/>
              </w:rPr>
              <w:t>经化粪池预处理后</w:t>
            </w:r>
            <w:r>
              <w:rPr>
                <w:sz w:val="24"/>
              </w:rPr>
              <w:t>进入</w:t>
            </w:r>
            <w:r>
              <w:rPr>
                <w:rFonts w:hint="eastAsia"/>
                <w:sz w:val="24"/>
              </w:rPr>
              <w:t>接管进江苏港城污水处理有限公司</w:t>
            </w:r>
            <w:r>
              <w:rPr>
                <w:sz w:val="24"/>
              </w:rPr>
              <w:t>集中处理，处理尾水排入盘头中沟。</w:t>
            </w:r>
          </w:p>
          <w:p>
            <w:pPr>
              <w:pStyle w:val="16"/>
              <w:adjustRightInd w:val="0"/>
              <w:spacing w:before="0" w:after="0" w:line="500" w:lineRule="exact"/>
              <w:ind w:right="0" w:firstLine="480" w:firstLineChars="200"/>
              <w:rPr>
                <w:sz w:val="24"/>
                <w:szCs w:val="24"/>
              </w:rPr>
            </w:pPr>
            <w:r>
              <w:rPr>
                <w:sz w:val="24"/>
                <w:szCs w:val="24"/>
              </w:rPr>
              <w:t>本项目废水产生及排放情况见下表。</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szCs w:val="21"/>
              </w:rPr>
            </w:pPr>
            <w:r>
              <w:rPr>
                <w:b/>
                <w:szCs w:val="21"/>
              </w:rPr>
              <w:t>表4-</w:t>
            </w:r>
            <w:r>
              <w:rPr>
                <w:rFonts w:hint="eastAsia"/>
                <w:b/>
                <w:szCs w:val="21"/>
              </w:rPr>
              <w:t>9</w:t>
            </w:r>
            <w:r>
              <w:rPr>
                <w:b/>
                <w:szCs w:val="21"/>
              </w:rPr>
              <w:t>水污染物产生及排放情况表</w:t>
            </w:r>
          </w:p>
          <w:tbl>
            <w:tblPr>
              <w:tblStyle w:val="33"/>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61"/>
              <w:gridCol w:w="908"/>
              <w:gridCol w:w="661"/>
              <w:gridCol w:w="849"/>
              <w:gridCol w:w="884"/>
              <w:gridCol w:w="784"/>
              <w:gridCol w:w="945"/>
              <w:gridCol w:w="1031"/>
              <w:gridCol w:w="940"/>
              <w:gridCol w:w="110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68" w:type="pct"/>
                  <w:vMerge w:val="restart"/>
                  <w:vAlign w:val="center"/>
                </w:tcPr>
                <w:p>
                  <w:pPr>
                    <w:widowControl/>
                    <w:jc w:val="center"/>
                    <w:rPr>
                      <w:b/>
                      <w:bCs/>
                      <w:kern w:val="0"/>
                      <w:szCs w:val="21"/>
                    </w:rPr>
                  </w:pPr>
                  <w:r>
                    <w:rPr>
                      <w:b/>
                      <w:bCs/>
                      <w:kern w:val="0"/>
                      <w:szCs w:val="21"/>
                    </w:rPr>
                    <w:t>类别</w:t>
                  </w:r>
                </w:p>
              </w:tc>
              <w:tc>
                <w:tcPr>
                  <w:tcW w:w="529" w:type="pct"/>
                  <w:vMerge w:val="restart"/>
                  <w:vAlign w:val="center"/>
                </w:tcPr>
                <w:p>
                  <w:pPr>
                    <w:widowControl/>
                    <w:jc w:val="center"/>
                    <w:rPr>
                      <w:b/>
                      <w:bCs/>
                      <w:kern w:val="0"/>
                      <w:szCs w:val="21"/>
                    </w:rPr>
                  </w:pPr>
                  <w:r>
                    <w:rPr>
                      <w:b/>
                      <w:bCs/>
                      <w:kern w:val="0"/>
                      <w:szCs w:val="21"/>
                    </w:rPr>
                    <w:t>污染物名称</w:t>
                  </w:r>
                </w:p>
              </w:tc>
              <w:tc>
                <w:tcPr>
                  <w:tcW w:w="881" w:type="pct"/>
                  <w:gridSpan w:val="2"/>
                  <w:vAlign w:val="center"/>
                </w:tcPr>
                <w:p>
                  <w:pPr>
                    <w:widowControl/>
                    <w:jc w:val="center"/>
                    <w:rPr>
                      <w:b/>
                      <w:bCs/>
                      <w:kern w:val="0"/>
                      <w:szCs w:val="21"/>
                    </w:rPr>
                  </w:pPr>
                  <w:r>
                    <w:rPr>
                      <w:b/>
                      <w:bCs/>
                      <w:kern w:val="0"/>
                      <w:szCs w:val="21"/>
                    </w:rPr>
                    <w:t>产生情况</w:t>
                  </w:r>
                </w:p>
              </w:tc>
              <w:tc>
                <w:tcPr>
                  <w:tcW w:w="515" w:type="pct"/>
                  <w:vMerge w:val="restart"/>
                  <w:vAlign w:val="center"/>
                </w:tcPr>
                <w:p>
                  <w:pPr>
                    <w:widowControl/>
                    <w:jc w:val="center"/>
                    <w:rPr>
                      <w:b/>
                      <w:bCs/>
                      <w:kern w:val="0"/>
                      <w:szCs w:val="21"/>
                    </w:rPr>
                  </w:pPr>
                  <w:r>
                    <w:rPr>
                      <w:rFonts w:hint="eastAsia"/>
                      <w:b/>
                      <w:bCs/>
                      <w:kern w:val="0"/>
                      <w:szCs w:val="21"/>
                    </w:rPr>
                    <w:t>化粪池预处理去除效率%</w:t>
                  </w:r>
                </w:p>
              </w:tc>
              <w:tc>
                <w:tcPr>
                  <w:tcW w:w="1008" w:type="pct"/>
                  <w:gridSpan w:val="2"/>
                  <w:vAlign w:val="center"/>
                </w:tcPr>
                <w:p>
                  <w:pPr>
                    <w:widowControl/>
                    <w:jc w:val="center"/>
                    <w:rPr>
                      <w:b/>
                      <w:bCs/>
                      <w:kern w:val="0"/>
                      <w:szCs w:val="21"/>
                    </w:rPr>
                  </w:pPr>
                  <w:r>
                    <w:rPr>
                      <w:rFonts w:hint="eastAsia"/>
                      <w:b/>
                      <w:bCs/>
                      <w:kern w:val="0"/>
                      <w:szCs w:val="21"/>
                    </w:rPr>
                    <w:t>接管</w:t>
                  </w:r>
                  <w:r>
                    <w:rPr>
                      <w:b/>
                      <w:bCs/>
                      <w:kern w:val="0"/>
                      <w:szCs w:val="21"/>
                    </w:rPr>
                    <w:t>情况</w:t>
                  </w:r>
                </w:p>
              </w:tc>
              <w:tc>
                <w:tcPr>
                  <w:tcW w:w="1150" w:type="pct"/>
                  <w:gridSpan w:val="2"/>
                  <w:vAlign w:val="center"/>
                </w:tcPr>
                <w:p>
                  <w:pPr>
                    <w:widowControl/>
                    <w:jc w:val="center"/>
                    <w:rPr>
                      <w:b/>
                      <w:bCs/>
                      <w:kern w:val="0"/>
                      <w:szCs w:val="21"/>
                    </w:rPr>
                  </w:pPr>
                  <w:r>
                    <w:rPr>
                      <w:rFonts w:hint="eastAsia"/>
                      <w:b/>
                      <w:bCs/>
                      <w:kern w:val="0"/>
                      <w:szCs w:val="21"/>
                    </w:rPr>
                    <w:t>排放情况</w:t>
                  </w:r>
                </w:p>
              </w:tc>
              <w:tc>
                <w:tcPr>
                  <w:tcW w:w="645" w:type="pct"/>
                  <w:vMerge w:val="restart"/>
                  <w:vAlign w:val="center"/>
                </w:tcPr>
                <w:p>
                  <w:pPr>
                    <w:widowControl/>
                    <w:jc w:val="center"/>
                    <w:rPr>
                      <w:kern w:val="0"/>
                      <w:szCs w:val="21"/>
                    </w:rPr>
                  </w:pPr>
                  <w:r>
                    <w:rPr>
                      <w:b/>
                      <w:bCs/>
                      <w:kern w:val="0"/>
                      <w:szCs w:val="21"/>
                    </w:rPr>
                    <w:t>排放去向</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68" w:type="pct"/>
                  <w:vMerge w:val="continue"/>
                  <w:vAlign w:val="center"/>
                </w:tcPr>
                <w:p>
                  <w:pPr>
                    <w:widowControl/>
                    <w:jc w:val="center"/>
                    <w:rPr>
                      <w:b/>
                      <w:bCs/>
                      <w:kern w:val="0"/>
                      <w:szCs w:val="21"/>
                    </w:rPr>
                  </w:pPr>
                </w:p>
              </w:tc>
              <w:tc>
                <w:tcPr>
                  <w:tcW w:w="529" w:type="pct"/>
                  <w:vMerge w:val="continue"/>
                  <w:vAlign w:val="center"/>
                </w:tcPr>
                <w:p>
                  <w:pPr>
                    <w:widowControl/>
                    <w:jc w:val="center"/>
                    <w:rPr>
                      <w:b/>
                      <w:bCs/>
                      <w:kern w:val="0"/>
                      <w:szCs w:val="21"/>
                    </w:rPr>
                  </w:pPr>
                </w:p>
              </w:tc>
              <w:tc>
                <w:tcPr>
                  <w:tcW w:w="385" w:type="pct"/>
                  <w:vAlign w:val="center"/>
                </w:tcPr>
                <w:p>
                  <w:pPr>
                    <w:widowControl/>
                    <w:jc w:val="center"/>
                    <w:rPr>
                      <w:b/>
                      <w:bCs/>
                      <w:kern w:val="0"/>
                      <w:szCs w:val="21"/>
                    </w:rPr>
                  </w:pPr>
                  <w:r>
                    <w:rPr>
                      <w:b/>
                      <w:bCs/>
                      <w:kern w:val="0"/>
                      <w:szCs w:val="21"/>
                    </w:rPr>
                    <w:t>浓度mg/L</w:t>
                  </w:r>
                </w:p>
              </w:tc>
              <w:tc>
                <w:tcPr>
                  <w:tcW w:w="495" w:type="pct"/>
                  <w:vAlign w:val="center"/>
                </w:tcPr>
                <w:p>
                  <w:pPr>
                    <w:widowControl/>
                    <w:jc w:val="center"/>
                    <w:rPr>
                      <w:b/>
                      <w:bCs/>
                      <w:kern w:val="0"/>
                      <w:szCs w:val="21"/>
                    </w:rPr>
                  </w:pPr>
                  <w:r>
                    <w:rPr>
                      <w:b/>
                      <w:bCs/>
                      <w:kern w:val="0"/>
                      <w:szCs w:val="21"/>
                    </w:rPr>
                    <w:t>产生量t/a</w:t>
                  </w:r>
                </w:p>
              </w:tc>
              <w:tc>
                <w:tcPr>
                  <w:tcW w:w="515" w:type="pct"/>
                  <w:vMerge w:val="continue"/>
                  <w:vAlign w:val="center"/>
                </w:tcPr>
                <w:p>
                  <w:pPr>
                    <w:widowControl/>
                    <w:jc w:val="center"/>
                    <w:rPr>
                      <w:b/>
                      <w:bCs/>
                      <w:kern w:val="0"/>
                      <w:szCs w:val="21"/>
                    </w:rPr>
                  </w:pPr>
                </w:p>
              </w:tc>
              <w:tc>
                <w:tcPr>
                  <w:tcW w:w="457" w:type="pct"/>
                  <w:vAlign w:val="center"/>
                </w:tcPr>
                <w:p>
                  <w:pPr>
                    <w:widowControl/>
                    <w:jc w:val="center"/>
                    <w:rPr>
                      <w:b/>
                      <w:bCs/>
                      <w:kern w:val="0"/>
                      <w:szCs w:val="21"/>
                    </w:rPr>
                  </w:pPr>
                  <w:r>
                    <w:rPr>
                      <w:b/>
                      <w:bCs/>
                      <w:kern w:val="0"/>
                      <w:szCs w:val="21"/>
                    </w:rPr>
                    <w:t>浓度mg/L</w:t>
                  </w:r>
                </w:p>
              </w:tc>
              <w:tc>
                <w:tcPr>
                  <w:tcW w:w="551" w:type="pct"/>
                  <w:vAlign w:val="center"/>
                </w:tcPr>
                <w:p>
                  <w:pPr>
                    <w:widowControl/>
                    <w:jc w:val="center"/>
                    <w:rPr>
                      <w:b/>
                      <w:bCs/>
                      <w:kern w:val="0"/>
                      <w:szCs w:val="21"/>
                    </w:rPr>
                  </w:pPr>
                  <w:r>
                    <w:rPr>
                      <w:rFonts w:hint="eastAsia"/>
                      <w:b/>
                      <w:bCs/>
                      <w:kern w:val="0"/>
                      <w:szCs w:val="21"/>
                    </w:rPr>
                    <w:t>接管量</w:t>
                  </w:r>
                  <w:r>
                    <w:rPr>
                      <w:b/>
                      <w:bCs/>
                      <w:kern w:val="0"/>
                      <w:szCs w:val="21"/>
                    </w:rPr>
                    <w:t>t/a</w:t>
                  </w:r>
                </w:p>
              </w:tc>
              <w:tc>
                <w:tcPr>
                  <w:tcW w:w="601" w:type="pct"/>
                  <w:vAlign w:val="center"/>
                </w:tcPr>
                <w:p>
                  <w:pPr>
                    <w:widowControl/>
                    <w:jc w:val="center"/>
                    <w:rPr>
                      <w:b/>
                      <w:bCs/>
                      <w:kern w:val="0"/>
                      <w:szCs w:val="21"/>
                    </w:rPr>
                  </w:pPr>
                  <w:r>
                    <w:rPr>
                      <w:b/>
                      <w:bCs/>
                      <w:kern w:val="0"/>
                      <w:szCs w:val="21"/>
                    </w:rPr>
                    <w:t>浓度mg/L</w:t>
                  </w:r>
                </w:p>
              </w:tc>
              <w:tc>
                <w:tcPr>
                  <w:tcW w:w="548" w:type="pct"/>
                  <w:vAlign w:val="center"/>
                </w:tcPr>
                <w:p>
                  <w:pPr>
                    <w:widowControl/>
                    <w:jc w:val="center"/>
                    <w:rPr>
                      <w:b/>
                      <w:bCs/>
                      <w:kern w:val="0"/>
                      <w:szCs w:val="21"/>
                    </w:rPr>
                  </w:pPr>
                  <w:r>
                    <w:rPr>
                      <w:b/>
                      <w:bCs/>
                      <w:kern w:val="0"/>
                      <w:szCs w:val="21"/>
                    </w:rPr>
                    <w:t>排放量t/a</w:t>
                  </w:r>
                </w:p>
              </w:tc>
              <w:tc>
                <w:tcPr>
                  <w:tcW w:w="645" w:type="pct"/>
                  <w:vMerge w:val="continue"/>
                  <w:vAlign w:val="center"/>
                </w:tcPr>
                <w:p>
                  <w:pPr>
                    <w:widowControl/>
                    <w:jc w:val="center"/>
                    <w:rPr>
                      <w:kern w:val="0"/>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68" w:type="pct"/>
                  <w:vMerge w:val="restart"/>
                  <w:vAlign w:val="center"/>
                </w:tcPr>
                <w:p>
                  <w:pPr>
                    <w:widowControl/>
                    <w:jc w:val="center"/>
                    <w:rPr>
                      <w:kern w:val="0"/>
                      <w:szCs w:val="21"/>
                    </w:rPr>
                  </w:pPr>
                  <w:r>
                    <w:rPr>
                      <w:kern w:val="0"/>
                      <w:szCs w:val="21"/>
                    </w:rPr>
                    <w:t>生活污水</w:t>
                  </w:r>
                </w:p>
              </w:tc>
              <w:tc>
                <w:tcPr>
                  <w:tcW w:w="529" w:type="pct"/>
                  <w:vAlign w:val="center"/>
                </w:tcPr>
                <w:p>
                  <w:pPr>
                    <w:widowControl/>
                    <w:jc w:val="center"/>
                    <w:textAlignment w:val="center"/>
                    <w:rPr>
                      <w:kern w:val="0"/>
                      <w:szCs w:val="21"/>
                      <w:lang w:bidi="ar"/>
                    </w:rPr>
                  </w:pPr>
                  <w:r>
                    <w:rPr>
                      <w:kern w:val="0"/>
                      <w:szCs w:val="21"/>
                      <w:lang w:bidi="ar"/>
                    </w:rPr>
                    <w:t>废水量</w:t>
                  </w:r>
                </w:p>
              </w:tc>
              <w:tc>
                <w:tcPr>
                  <w:tcW w:w="385" w:type="pct"/>
                  <w:vAlign w:val="center"/>
                </w:tcPr>
                <w:p>
                  <w:pPr>
                    <w:widowControl/>
                    <w:jc w:val="center"/>
                    <w:rPr>
                      <w:kern w:val="0"/>
                      <w:szCs w:val="21"/>
                    </w:rPr>
                  </w:pPr>
                  <w:r>
                    <w:rPr>
                      <w:kern w:val="0"/>
                      <w:szCs w:val="21"/>
                    </w:rPr>
                    <w:t>/</w:t>
                  </w:r>
                </w:p>
              </w:tc>
              <w:tc>
                <w:tcPr>
                  <w:tcW w:w="495" w:type="pct"/>
                  <w:vAlign w:val="center"/>
                </w:tcPr>
                <w:p>
                  <w:pPr>
                    <w:widowControl/>
                    <w:jc w:val="center"/>
                    <w:textAlignment w:val="center"/>
                    <w:rPr>
                      <w:kern w:val="0"/>
                      <w:szCs w:val="21"/>
                      <w:lang w:bidi="ar"/>
                    </w:rPr>
                  </w:pPr>
                  <w:r>
                    <w:rPr>
                      <w:rFonts w:hint="eastAsia"/>
                      <w:kern w:val="0"/>
                      <w:szCs w:val="21"/>
                      <w:lang w:bidi="ar"/>
                    </w:rPr>
                    <w:t>300</w:t>
                  </w:r>
                </w:p>
              </w:tc>
              <w:tc>
                <w:tcPr>
                  <w:tcW w:w="515" w:type="pct"/>
                  <w:vAlign w:val="center"/>
                </w:tcPr>
                <w:p>
                  <w:pPr>
                    <w:widowControl/>
                    <w:jc w:val="center"/>
                    <w:textAlignment w:val="center"/>
                    <w:rPr>
                      <w:kern w:val="0"/>
                      <w:szCs w:val="21"/>
                      <w:lang w:bidi="ar"/>
                    </w:rPr>
                  </w:pPr>
                  <w:r>
                    <w:rPr>
                      <w:rFonts w:hint="eastAsia"/>
                      <w:kern w:val="0"/>
                      <w:szCs w:val="21"/>
                      <w:lang w:bidi="ar"/>
                    </w:rPr>
                    <w:t>/</w:t>
                  </w:r>
                </w:p>
              </w:tc>
              <w:tc>
                <w:tcPr>
                  <w:tcW w:w="457" w:type="pct"/>
                  <w:vAlign w:val="center"/>
                </w:tcPr>
                <w:p>
                  <w:pPr>
                    <w:widowControl/>
                    <w:jc w:val="center"/>
                    <w:textAlignment w:val="center"/>
                    <w:rPr>
                      <w:kern w:val="0"/>
                      <w:szCs w:val="21"/>
                      <w:lang w:bidi="ar"/>
                    </w:rPr>
                  </w:pPr>
                  <w:r>
                    <w:rPr>
                      <w:kern w:val="0"/>
                      <w:szCs w:val="21"/>
                      <w:lang w:bidi="ar"/>
                    </w:rPr>
                    <w:t>/</w:t>
                  </w:r>
                </w:p>
              </w:tc>
              <w:tc>
                <w:tcPr>
                  <w:tcW w:w="551" w:type="pct"/>
                  <w:vAlign w:val="center"/>
                </w:tcPr>
                <w:p>
                  <w:pPr>
                    <w:widowControl/>
                    <w:jc w:val="center"/>
                    <w:textAlignment w:val="center"/>
                    <w:rPr>
                      <w:kern w:val="0"/>
                      <w:szCs w:val="21"/>
                      <w:lang w:bidi="ar"/>
                    </w:rPr>
                  </w:pPr>
                  <w:r>
                    <w:rPr>
                      <w:rFonts w:hint="eastAsia"/>
                      <w:kern w:val="0"/>
                      <w:szCs w:val="21"/>
                      <w:lang w:bidi="ar"/>
                    </w:rPr>
                    <w:t>300</w:t>
                  </w:r>
                </w:p>
              </w:tc>
              <w:tc>
                <w:tcPr>
                  <w:tcW w:w="601" w:type="pct"/>
                  <w:vAlign w:val="center"/>
                </w:tcPr>
                <w:p>
                  <w:pPr>
                    <w:jc w:val="center"/>
                    <w:rPr>
                      <w:szCs w:val="21"/>
                    </w:rPr>
                  </w:pPr>
                  <w:r>
                    <w:rPr>
                      <w:rFonts w:hint="eastAsia"/>
                      <w:szCs w:val="21"/>
                    </w:rPr>
                    <w:t>/</w:t>
                  </w:r>
                </w:p>
              </w:tc>
              <w:tc>
                <w:tcPr>
                  <w:tcW w:w="548" w:type="pct"/>
                  <w:vAlign w:val="center"/>
                </w:tcPr>
                <w:p>
                  <w:pPr>
                    <w:jc w:val="center"/>
                    <w:rPr>
                      <w:szCs w:val="21"/>
                    </w:rPr>
                  </w:pPr>
                  <w:r>
                    <w:rPr>
                      <w:rFonts w:hint="eastAsia"/>
                      <w:szCs w:val="21"/>
                    </w:rPr>
                    <w:t>300</w:t>
                  </w:r>
                </w:p>
              </w:tc>
              <w:tc>
                <w:tcPr>
                  <w:tcW w:w="645" w:type="pct"/>
                  <w:vMerge w:val="restart"/>
                  <w:vAlign w:val="center"/>
                </w:tcPr>
                <w:p>
                  <w:pPr>
                    <w:jc w:val="center"/>
                    <w:rPr>
                      <w:szCs w:val="21"/>
                    </w:rPr>
                  </w:pPr>
                  <w:r>
                    <w:rPr>
                      <w:rFonts w:hint="eastAsia"/>
                      <w:szCs w:val="21"/>
                    </w:rPr>
                    <w:t>江苏港城污水处理有限公司</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68" w:type="pct"/>
                  <w:vMerge w:val="continue"/>
                  <w:vAlign w:val="center"/>
                </w:tcPr>
                <w:p>
                  <w:pPr>
                    <w:widowControl/>
                    <w:jc w:val="center"/>
                    <w:rPr>
                      <w:kern w:val="0"/>
                      <w:szCs w:val="21"/>
                    </w:rPr>
                  </w:pPr>
                </w:p>
              </w:tc>
              <w:tc>
                <w:tcPr>
                  <w:tcW w:w="529" w:type="pct"/>
                  <w:vAlign w:val="center"/>
                </w:tcPr>
                <w:p>
                  <w:pPr>
                    <w:widowControl/>
                    <w:jc w:val="center"/>
                    <w:textAlignment w:val="center"/>
                    <w:rPr>
                      <w:kern w:val="0"/>
                      <w:szCs w:val="21"/>
                      <w:lang w:bidi="ar"/>
                    </w:rPr>
                  </w:pPr>
                  <w:r>
                    <w:rPr>
                      <w:kern w:val="0"/>
                      <w:szCs w:val="21"/>
                      <w:lang w:bidi="ar"/>
                    </w:rPr>
                    <w:t>CODcr</w:t>
                  </w:r>
                </w:p>
              </w:tc>
              <w:tc>
                <w:tcPr>
                  <w:tcW w:w="385" w:type="pct"/>
                  <w:vAlign w:val="center"/>
                </w:tcPr>
                <w:p>
                  <w:pPr>
                    <w:widowControl/>
                    <w:jc w:val="center"/>
                    <w:textAlignment w:val="center"/>
                    <w:rPr>
                      <w:kern w:val="0"/>
                      <w:szCs w:val="21"/>
                    </w:rPr>
                  </w:pPr>
                  <w:r>
                    <w:rPr>
                      <w:rFonts w:hint="eastAsia"/>
                      <w:kern w:val="0"/>
                      <w:szCs w:val="21"/>
                    </w:rPr>
                    <w:t>400</w:t>
                  </w:r>
                </w:p>
              </w:tc>
              <w:tc>
                <w:tcPr>
                  <w:tcW w:w="495" w:type="pct"/>
                  <w:vAlign w:val="center"/>
                </w:tcPr>
                <w:p>
                  <w:pPr>
                    <w:widowControl/>
                    <w:jc w:val="center"/>
                    <w:textAlignment w:val="center"/>
                    <w:rPr>
                      <w:szCs w:val="21"/>
                    </w:rPr>
                  </w:pPr>
                  <w:r>
                    <w:rPr>
                      <w:rFonts w:hint="eastAsia"/>
                      <w:szCs w:val="21"/>
                    </w:rPr>
                    <w:t>0.120</w:t>
                  </w:r>
                </w:p>
              </w:tc>
              <w:tc>
                <w:tcPr>
                  <w:tcW w:w="515" w:type="pct"/>
                  <w:vAlign w:val="center"/>
                </w:tcPr>
                <w:p>
                  <w:pPr>
                    <w:widowControl/>
                    <w:jc w:val="center"/>
                    <w:textAlignment w:val="center"/>
                    <w:rPr>
                      <w:kern w:val="0"/>
                      <w:szCs w:val="21"/>
                    </w:rPr>
                  </w:pPr>
                  <w:r>
                    <w:rPr>
                      <w:rFonts w:hint="eastAsia"/>
                      <w:kern w:val="0"/>
                      <w:szCs w:val="21"/>
                    </w:rPr>
                    <w:t>15</w:t>
                  </w:r>
                </w:p>
              </w:tc>
              <w:tc>
                <w:tcPr>
                  <w:tcW w:w="457" w:type="pct"/>
                  <w:vAlign w:val="center"/>
                </w:tcPr>
                <w:p>
                  <w:pPr>
                    <w:widowControl/>
                    <w:jc w:val="center"/>
                    <w:textAlignment w:val="center"/>
                    <w:rPr>
                      <w:kern w:val="0"/>
                      <w:szCs w:val="21"/>
                    </w:rPr>
                  </w:pPr>
                  <w:r>
                    <w:rPr>
                      <w:rFonts w:hint="eastAsia"/>
                      <w:kern w:val="0"/>
                      <w:szCs w:val="21"/>
                    </w:rPr>
                    <w:t>340</w:t>
                  </w:r>
                </w:p>
              </w:tc>
              <w:tc>
                <w:tcPr>
                  <w:tcW w:w="551" w:type="pct"/>
                  <w:vAlign w:val="center"/>
                </w:tcPr>
                <w:p>
                  <w:pPr>
                    <w:widowControl/>
                    <w:jc w:val="center"/>
                    <w:textAlignment w:val="center"/>
                    <w:rPr>
                      <w:kern w:val="0"/>
                      <w:szCs w:val="21"/>
                    </w:rPr>
                  </w:pPr>
                  <w:r>
                    <w:rPr>
                      <w:rFonts w:hint="eastAsia"/>
                      <w:szCs w:val="21"/>
                    </w:rPr>
                    <w:t>0.102</w:t>
                  </w:r>
                </w:p>
              </w:tc>
              <w:tc>
                <w:tcPr>
                  <w:tcW w:w="601" w:type="pct"/>
                  <w:vAlign w:val="center"/>
                </w:tcPr>
                <w:p>
                  <w:pPr>
                    <w:jc w:val="center"/>
                    <w:rPr>
                      <w:szCs w:val="21"/>
                    </w:rPr>
                  </w:pPr>
                  <w:r>
                    <w:rPr>
                      <w:rFonts w:hint="eastAsia"/>
                      <w:szCs w:val="21"/>
                    </w:rPr>
                    <w:t>50</w:t>
                  </w:r>
                </w:p>
              </w:tc>
              <w:tc>
                <w:tcPr>
                  <w:tcW w:w="548" w:type="pct"/>
                  <w:vAlign w:val="center"/>
                </w:tcPr>
                <w:p>
                  <w:pPr>
                    <w:widowControl/>
                    <w:jc w:val="center"/>
                    <w:textAlignment w:val="center"/>
                    <w:rPr>
                      <w:szCs w:val="21"/>
                    </w:rPr>
                  </w:pPr>
                  <w:r>
                    <w:rPr>
                      <w:rFonts w:hint="eastAsia"/>
                      <w:szCs w:val="21"/>
                    </w:rPr>
                    <w:t>0.015</w:t>
                  </w:r>
                </w:p>
              </w:tc>
              <w:tc>
                <w:tcPr>
                  <w:tcW w:w="645" w:type="pct"/>
                  <w:vMerge w:val="continue"/>
                  <w:vAlign w:val="center"/>
                </w:tcPr>
                <w:p>
                  <w:pPr>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68" w:type="pct"/>
                  <w:vMerge w:val="continue"/>
                  <w:vAlign w:val="center"/>
                </w:tcPr>
                <w:p>
                  <w:pPr>
                    <w:widowControl/>
                    <w:jc w:val="center"/>
                    <w:rPr>
                      <w:kern w:val="0"/>
                      <w:szCs w:val="21"/>
                    </w:rPr>
                  </w:pPr>
                </w:p>
              </w:tc>
              <w:tc>
                <w:tcPr>
                  <w:tcW w:w="529" w:type="pct"/>
                  <w:vAlign w:val="center"/>
                </w:tcPr>
                <w:p>
                  <w:pPr>
                    <w:widowControl/>
                    <w:jc w:val="center"/>
                    <w:textAlignment w:val="center"/>
                    <w:rPr>
                      <w:kern w:val="0"/>
                      <w:szCs w:val="21"/>
                      <w:lang w:bidi="ar"/>
                    </w:rPr>
                  </w:pPr>
                  <w:r>
                    <w:rPr>
                      <w:kern w:val="0"/>
                      <w:szCs w:val="21"/>
                      <w:lang w:bidi="ar"/>
                    </w:rPr>
                    <w:t>SS</w:t>
                  </w:r>
                </w:p>
              </w:tc>
              <w:tc>
                <w:tcPr>
                  <w:tcW w:w="385" w:type="pct"/>
                  <w:vAlign w:val="center"/>
                </w:tcPr>
                <w:p>
                  <w:pPr>
                    <w:widowControl/>
                    <w:jc w:val="center"/>
                    <w:textAlignment w:val="center"/>
                    <w:rPr>
                      <w:kern w:val="0"/>
                      <w:szCs w:val="21"/>
                    </w:rPr>
                  </w:pPr>
                  <w:r>
                    <w:rPr>
                      <w:rFonts w:hint="eastAsia"/>
                      <w:kern w:val="0"/>
                      <w:szCs w:val="21"/>
                    </w:rPr>
                    <w:t>250</w:t>
                  </w:r>
                </w:p>
              </w:tc>
              <w:tc>
                <w:tcPr>
                  <w:tcW w:w="495" w:type="pct"/>
                  <w:vAlign w:val="center"/>
                </w:tcPr>
                <w:p>
                  <w:pPr>
                    <w:widowControl/>
                    <w:jc w:val="center"/>
                    <w:textAlignment w:val="center"/>
                    <w:rPr>
                      <w:kern w:val="0"/>
                      <w:szCs w:val="21"/>
                    </w:rPr>
                  </w:pPr>
                  <w:r>
                    <w:rPr>
                      <w:rFonts w:hint="eastAsia"/>
                      <w:kern w:val="0"/>
                      <w:szCs w:val="21"/>
                    </w:rPr>
                    <w:t>0.075</w:t>
                  </w:r>
                </w:p>
              </w:tc>
              <w:tc>
                <w:tcPr>
                  <w:tcW w:w="515" w:type="pct"/>
                  <w:vAlign w:val="center"/>
                </w:tcPr>
                <w:p>
                  <w:pPr>
                    <w:widowControl/>
                    <w:jc w:val="center"/>
                    <w:textAlignment w:val="center"/>
                    <w:rPr>
                      <w:szCs w:val="21"/>
                    </w:rPr>
                  </w:pPr>
                  <w:r>
                    <w:rPr>
                      <w:rFonts w:hint="eastAsia"/>
                      <w:szCs w:val="21"/>
                    </w:rPr>
                    <w:t>20</w:t>
                  </w:r>
                </w:p>
              </w:tc>
              <w:tc>
                <w:tcPr>
                  <w:tcW w:w="457" w:type="pct"/>
                  <w:vAlign w:val="center"/>
                </w:tcPr>
                <w:p>
                  <w:pPr>
                    <w:widowControl/>
                    <w:jc w:val="center"/>
                    <w:textAlignment w:val="center"/>
                    <w:rPr>
                      <w:kern w:val="0"/>
                      <w:szCs w:val="21"/>
                    </w:rPr>
                  </w:pPr>
                  <w:r>
                    <w:rPr>
                      <w:rFonts w:hint="eastAsia"/>
                      <w:kern w:val="0"/>
                      <w:szCs w:val="21"/>
                    </w:rPr>
                    <w:t>200</w:t>
                  </w:r>
                </w:p>
              </w:tc>
              <w:tc>
                <w:tcPr>
                  <w:tcW w:w="551" w:type="pct"/>
                  <w:vAlign w:val="center"/>
                </w:tcPr>
                <w:p>
                  <w:pPr>
                    <w:widowControl/>
                    <w:jc w:val="center"/>
                    <w:textAlignment w:val="center"/>
                    <w:rPr>
                      <w:kern w:val="0"/>
                      <w:szCs w:val="21"/>
                    </w:rPr>
                  </w:pPr>
                  <w:r>
                    <w:rPr>
                      <w:rFonts w:hint="eastAsia"/>
                      <w:kern w:val="0"/>
                      <w:szCs w:val="21"/>
                    </w:rPr>
                    <w:t>0.060</w:t>
                  </w:r>
                </w:p>
              </w:tc>
              <w:tc>
                <w:tcPr>
                  <w:tcW w:w="601" w:type="pct"/>
                  <w:vAlign w:val="center"/>
                </w:tcPr>
                <w:p>
                  <w:pPr>
                    <w:widowControl/>
                    <w:jc w:val="center"/>
                    <w:rPr>
                      <w:kern w:val="0"/>
                      <w:szCs w:val="21"/>
                    </w:rPr>
                  </w:pPr>
                  <w:r>
                    <w:rPr>
                      <w:rFonts w:hint="eastAsia"/>
                      <w:kern w:val="0"/>
                      <w:szCs w:val="21"/>
                    </w:rPr>
                    <w:t>10</w:t>
                  </w:r>
                </w:p>
              </w:tc>
              <w:tc>
                <w:tcPr>
                  <w:tcW w:w="548" w:type="pct"/>
                  <w:vAlign w:val="center"/>
                </w:tcPr>
                <w:p>
                  <w:pPr>
                    <w:widowControl/>
                    <w:jc w:val="center"/>
                    <w:textAlignment w:val="center"/>
                    <w:rPr>
                      <w:kern w:val="0"/>
                      <w:szCs w:val="21"/>
                    </w:rPr>
                  </w:pPr>
                  <w:r>
                    <w:rPr>
                      <w:rFonts w:hint="eastAsia"/>
                      <w:kern w:val="0"/>
                      <w:szCs w:val="21"/>
                    </w:rPr>
                    <w:t>0.003</w:t>
                  </w:r>
                </w:p>
              </w:tc>
              <w:tc>
                <w:tcPr>
                  <w:tcW w:w="645" w:type="pct"/>
                  <w:vMerge w:val="continue"/>
                  <w:vAlign w:val="center"/>
                </w:tcPr>
                <w:p>
                  <w:pPr>
                    <w:widowControl/>
                    <w:jc w:val="center"/>
                    <w:rPr>
                      <w:kern w:val="0"/>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68" w:type="pct"/>
                  <w:vMerge w:val="continue"/>
                  <w:vAlign w:val="center"/>
                </w:tcPr>
                <w:p>
                  <w:pPr>
                    <w:widowControl/>
                    <w:jc w:val="center"/>
                    <w:rPr>
                      <w:kern w:val="0"/>
                      <w:szCs w:val="21"/>
                    </w:rPr>
                  </w:pPr>
                </w:p>
              </w:tc>
              <w:tc>
                <w:tcPr>
                  <w:tcW w:w="529" w:type="pct"/>
                  <w:vAlign w:val="center"/>
                </w:tcPr>
                <w:p>
                  <w:pPr>
                    <w:widowControl/>
                    <w:jc w:val="center"/>
                    <w:textAlignment w:val="center"/>
                    <w:rPr>
                      <w:kern w:val="0"/>
                      <w:szCs w:val="21"/>
                      <w:lang w:bidi="ar"/>
                    </w:rPr>
                  </w:pPr>
                  <w:r>
                    <w:rPr>
                      <w:kern w:val="0"/>
                      <w:szCs w:val="21"/>
                      <w:lang w:bidi="ar"/>
                    </w:rPr>
                    <w:t>NH</w:t>
                  </w:r>
                  <w:r>
                    <w:rPr>
                      <w:kern w:val="0"/>
                      <w:szCs w:val="21"/>
                      <w:vertAlign w:val="subscript"/>
                      <w:lang w:bidi="ar"/>
                    </w:rPr>
                    <w:t>3</w:t>
                  </w:r>
                  <w:r>
                    <w:rPr>
                      <w:kern w:val="0"/>
                      <w:szCs w:val="21"/>
                      <w:lang w:bidi="ar"/>
                    </w:rPr>
                    <w:t>-N</w:t>
                  </w:r>
                </w:p>
              </w:tc>
              <w:tc>
                <w:tcPr>
                  <w:tcW w:w="385" w:type="pct"/>
                  <w:vAlign w:val="center"/>
                </w:tcPr>
                <w:p>
                  <w:pPr>
                    <w:widowControl/>
                    <w:jc w:val="center"/>
                    <w:textAlignment w:val="center"/>
                    <w:rPr>
                      <w:kern w:val="0"/>
                      <w:szCs w:val="21"/>
                    </w:rPr>
                  </w:pPr>
                  <w:r>
                    <w:rPr>
                      <w:rFonts w:hint="eastAsia"/>
                      <w:kern w:val="0"/>
                      <w:szCs w:val="21"/>
                    </w:rPr>
                    <w:t>25</w:t>
                  </w:r>
                </w:p>
              </w:tc>
              <w:tc>
                <w:tcPr>
                  <w:tcW w:w="495" w:type="pct"/>
                  <w:vAlign w:val="center"/>
                </w:tcPr>
                <w:p>
                  <w:pPr>
                    <w:widowControl/>
                    <w:jc w:val="center"/>
                    <w:textAlignment w:val="center"/>
                    <w:rPr>
                      <w:kern w:val="0"/>
                      <w:szCs w:val="21"/>
                    </w:rPr>
                  </w:pPr>
                  <w:r>
                    <w:rPr>
                      <w:rFonts w:hint="eastAsia"/>
                      <w:kern w:val="0"/>
                      <w:szCs w:val="21"/>
                    </w:rPr>
                    <w:t>0.0075</w:t>
                  </w:r>
                </w:p>
              </w:tc>
              <w:tc>
                <w:tcPr>
                  <w:tcW w:w="515" w:type="pct"/>
                  <w:vAlign w:val="center"/>
                </w:tcPr>
                <w:p>
                  <w:pPr>
                    <w:widowControl/>
                    <w:jc w:val="center"/>
                    <w:textAlignment w:val="center"/>
                    <w:rPr>
                      <w:kern w:val="0"/>
                      <w:szCs w:val="21"/>
                    </w:rPr>
                  </w:pPr>
                  <w:r>
                    <w:rPr>
                      <w:rFonts w:hint="eastAsia"/>
                      <w:kern w:val="0"/>
                      <w:szCs w:val="21"/>
                    </w:rPr>
                    <w:t>0</w:t>
                  </w:r>
                </w:p>
              </w:tc>
              <w:tc>
                <w:tcPr>
                  <w:tcW w:w="457" w:type="pct"/>
                  <w:vAlign w:val="center"/>
                </w:tcPr>
                <w:p>
                  <w:pPr>
                    <w:widowControl/>
                    <w:jc w:val="center"/>
                    <w:textAlignment w:val="center"/>
                    <w:rPr>
                      <w:kern w:val="0"/>
                      <w:szCs w:val="21"/>
                    </w:rPr>
                  </w:pPr>
                  <w:r>
                    <w:rPr>
                      <w:rFonts w:hint="eastAsia"/>
                      <w:kern w:val="0"/>
                      <w:szCs w:val="21"/>
                    </w:rPr>
                    <w:t>25</w:t>
                  </w:r>
                </w:p>
              </w:tc>
              <w:tc>
                <w:tcPr>
                  <w:tcW w:w="551" w:type="pct"/>
                  <w:vAlign w:val="center"/>
                </w:tcPr>
                <w:p>
                  <w:pPr>
                    <w:widowControl/>
                    <w:jc w:val="center"/>
                    <w:textAlignment w:val="center"/>
                    <w:rPr>
                      <w:kern w:val="0"/>
                      <w:szCs w:val="21"/>
                    </w:rPr>
                  </w:pPr>
                  <w:r>
                    <w:rPr>
                      <w:rFonts w:hint="eastAsia"/>
                      <w:kern w:val="0"/>
                      <w:szCs w:val="21"/>
                    </w:rPr>
                    <w:t>0.0075</w:t>
                  </w:r>
                </w:p>
              </w:tc>
              <w:tc>
                <w:tcPr>
                  <w:tcW w:w="601" w:type="pct"/>
                  <w:vAlign w:val="center"/>
                </w:tcPr>
                <w:p>
                  <w:pPr>
                    <w:widowControl/>
                    <w:jc w:val="center"/>
                    <w:rPr>
                      <w:kern w:val="0"/>
                      <w:szCs w:val="21"/>
                    </w:rPr>
                  </w:pPr>
                  <w:r>
                    <w:rPr>
                      <w:szCs w:val="21"/>
                    </w:rPr>
                    <w:t>5（8）</w:t>
                  </w:r>
                </w:p>
              </w:tc>
              <w:tc>
                <w:tcPr>
                  <w:tcW w:w="548" w:type="pct"/>
                  <w:vAlign w:val="center"/>
                </w:tcPr>
                <w:p>
                  <w:pPr>
                    <w:widowControl/>
                    <w:jc w:val="center"/>
                    <w:textAlignment w:val="center"/>
                    <w:rPr>
                      <w:kern w:val="0"/>
                      <w:szCs w:val="21"/>
                    </w:rPr>
                  </w:pPr>
                  <w:r>
                    <w:rPr>
                      <w:rFonts w:hint="eastAsia"/>
                      <w:kern w:val="0"/>
                      <w:szCs w:val="21"/>
                    </w:rPr>
                    <w:t>0.0015</w:t>
                  </w:r>
                </w:p>
              </w:tc>
              <w:tc>
                <w:tcPr>
                  <w:tcW w:w="645" w:type="pct"/>
                  <w:vMerge w:val="continue"/>
                  <w:vAlign w:val="center"/>
                </w:tcPr>
                <w:p>
                  <w:pPr>
                    <w:widowControl/>
                    <w:jc w:val="center"/>
                    <w:rPr>
                      <w:kern w:val="0"/>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68" w:type="pct"/>
                  <w:vMerge w:val="continue"/>
                  <w:vAlign w:val="center"/>
                </w:tcPr>
                <w:p>
                  <w:pPr>
                    <w:widowControl/>
                    <w:jc w:val="center"/>
                    <w:rPr>
                      <w:kern w:val="0"/>
                      <w:szCs w:val="21"/>
                    </w:rPr>
                  </w:pPr>
                </w:p>
              </w:tc>
              <w:tc>
                <w:tcPr>
                  <w:tcW w:w="529" w:type="pct"/>
                  <w:vAlign w:val="center"/>
                </w:tcPr>
                <w:p>
                  <w:pPr>
                    <w:widowControl/>
                    <w:jc w:val="center"/>
                    <w:textAlignment w:val="center"/>
                    <w:rPr>
                      <w:kern w:val="0"/>
                      <w:szCs w:val="21"/>
                      <w:lang w:bidi="ar"/>
                    </w:rPr>
                  </w:pPr>
                  <w:r>
                    <w:rPr>
                      <w:kern w:val="0"/>
                      <w:szCs w:val="21"/>
                      <w:lang w:bidi="ar"/>
                    </w:rPr>
                    <w:t>TP</w:t>
                  </w:r>
                </w:p>
              </w:tc>
              <w:tc>
                <w:tcPr>
                  <w:tcW w:w="385" w:type="pct"/>
                  <w:vAlign w:val="center"/>
                </w:tcPr>
                <w:p>
                  <w:pPr>
                    <w:widowControl/>
                    <w:jc w:val="center"/>
                    <w:textAlignment w:val="center"/>
                    <w:rPr>
                      <w:kern w:val="0"/>
                      <w:szCs w:val="21"/>
                    </w:rPr>
                  </w:pPr>
                  <w:r>
                    <w:rPr>
                      <w:rFonts w:hint="eastAsia"/>
                      <w:kern w:val="0"/>
                      <w:szCs w:val="21"/>
                    </w:rPr>
                    <w:t>3</w:t>
                  </w:r>
                </w:p>
              </w:tc>
              <w:tc>
                <w:tcPr>
                  <w:tcW w:w="495" w:type="pct"/>
                  <w:vAlign w:val="center"/>
                </w:tcPr>
                <w:p>
                  <w:pPr>
                    <w:widowControl/>
                    <w:jc w:val="center"/>
                    <w:textAlignment w:val="center"/>
                    <w:rPr>
                      <w:kern w:val="0"/>
                      <w:szCs w:val="21"/>
                    </w:rPr>
                  </w:pPr>
                  <w:r>
                    <w:rPr>
                      <w:kern w:val="0"/>
                      <w:szCs w:val="21"/>
                    </w:rPr>
                    <w:t>0.00</w:t>
                  </w:r>
                  <w:r>
                    <w:rPr>
                      <w:rFonts w:hint="eastAsia"/>
                      <w:kern w:val="0"/>
                      <w:szCs w:val="21"/>
                    </w:rPr>
                    <w:t>09</w:t>
                  </w:r>
                </w:p>
              </w:tc>
              <w:tc>
                <w:tcPr>
                  <w:tcW w:w="515" w:type="pct"/>
                  <w:vAlign w:val="center"/>
                </w:tcPr>
                <w:p>
                  <w:pPr>
                    <w:widowControl/>
                    <w:jc w:val="center"/>
                    <w:textAlignment w:val="center"/>
                    <w:rPr>
                      <w:kern w:val="0"/>
                      <w:szCs w:val="21"/>
                    </w:rPr>
                  </w:pPr>
                  <w:r>
                    <w:rPr>
                      <w:rFonts w:hint="eastAsia"/>
                      <w:kern w:val="0"/>
                      <w:szCs w:val="21"/>
                    </w:rPr>
                    <w:t>0</w:t>
                  </w:r>
                </w:p>
              </w:tc>
              <w:tc>
                <w:tcPr>
                  <w:tcW w:w="457" w:type="pct"/>
                  <w:vAlign w:val="center"/>
                </w:tcPr>
                <w:p>
                  <w:pPr>
                    <w:widowControl/>
                    <w:jc w:val="center"/>
                    <w:textAlignment w:val="center"/>
                    <w:rPr>
                      <w:kern w:val="0"/>
                      <w:szCs w:val="21"/>
                    </w:rPr>
                  </w:pPr>
                  <w:r>
                    <w:rPr>
                      <w:rFonts w:hint="eastAsia"/>
                      <w:kern w:val="0"/>
                      <w:szCs w:val="21"/>
                    </w:rPr>
                    <w:t>3</w:t>
                  </w:r>
                </w:p>
              </w:tc>
              <w:tc>
                <w:tcPr>
                  <w:tcW w:w="551" w:type="pct"/>
                  <w:vAlign w:val="center"/>
                </w:tcPr>
                <w:p>
                  <w:pPr>
                    <w:widowControl/>
                    <w:jc w:val="center"/>
                    <w:textAlignment w:val="center"/>
                    <w:rPr>
                      <w:kern w:val="0"/>
                      <w:szCs w:val="21"/>
                    </w:rPr>
                  </w:pPr>
                  <w:r>
                    <w:rPr>
                      <w:kern w:val="0"/>
                      <w:szCs w:val="21"/>
                    </w:rPr>
                    <w:t>0.00</w:t>
                  </w:r>
                  <w:r>
                    <w:rPr>
                      <w:rFonts w:hint="eastAsia"/>
                      <w:kern w:val="0"/>
                      <w:szCs w:val="21"/>
                    </w:rPr>
                    <w:t>09</w:t>
                  </w:r>
                </w:p>
              </w:tc>
              <w:tc>
                <w:tcPr>
                  <w:tcW w:w="601" w:type="pct"/>
                  <w:vAlign w:val="center"/>
                </w:tcPr>
                <w:p>
                  <w:pPr>
                    <w:widowControl/>
                    <w:jc w:val="center"/>
                    <w:rPr>
                      <w:kern w:val="0"/>
                      <w:szCs w:val="21"/>
                    </w:rPr>
                  </w:pPr>
                  <w:r>
                    <w:rPr>
                      <w:rFonts w:hint="eastAsia"/>
                      <w:kern w:val="0"/>
                      <w:szCs w:val="21"/>
                    </w:rPr>
                    <w:t>0.5</w:t>
                  </w:r>
                </w:p>
              </w:tc>
              <w:tc>
                <w:tcPr>
                  <w:tcW w:w="548" w:type="pct"/>
                  <w:vAlign w:val="center"/>
                </w:tcPr>
                <w:p>
                  <w:pPr>
                    <w:widowControl/>
                    <w:jc w:val="center"/>
                    <w:textAlignment w:val="center"/>
                    <w:rPr>
                      <w:kern w:val="0"/>
                      <w:szCs w:val="21"/>
                    </w:rPr>
                  </w:pPr>
                  <w:r>
                    <w:rPr>
                      <w:kern w:val="0"/>
                      <w:szCs w:val="21"/>
                    </w:rPr>
                    <w:t>0.00</w:t>
                  </w:r>
                  <w:r>
                    <w:rPr>
                      <w:rFonts w:hint="eastAsia"/>
                      <w:kern w:val="0"/>
                      <w:szCs w:val="21"/>
                    </w:rPr>
                    <w:t>02</w:t>
                  </w:r>
                </w:p>
              </w:tc>
              <w:tc>
                <w:tcPr>
                  <w:tcW w:w="645" w:type="pct"/>
                  <w:vMerge w:val="continue"/>
                  <w:vAlign w:val="center"/>
                </w:tcPr>
                <w:p>
                  <w:pPr>
                    <w:widowControl/>
                    <w:jc w:val="center"/>
                    <w:rPr>
                      <w:kern w:val="0"/>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68" w:type="pct"/>
                  <w:vMerge w:val="continue"/>
                  <w:vAlign w:val="center"/>
                </w:tcPr>
                <w:p>
                  <w:pPr>
                    <w:widowControl/>
                    <w:jc w:val="center"/>
                    <w:rPr>
                      <w:kern w:val="0"/>
                      <w:szCs w:val="21"/>
                    </w:rPr>
                  </w:pPr>
                </w:p>
              </w:tc>
              <w:tc>
                <w:tcPr>
                  <w:tcW w:w="529" w:type="pct"/>
                  <w:vAlign w:val="center"/>
                </w:tcPr>
                <w:p>
                  <w:pPr>
                    <w:widowControl/>
                    <w:jc w:val="center"/>
                    <w:textAlignment w:val="center"/>
                    <w:rPr>
                      <w:kern w:val="0"/>
                      <w:szCs w:val="21"/>
                      <w:lang w:bidi="ar"/>
                    </w:rPr>
                  </w:pPr>
                  <w:r>
                    <w:rPr>
                      <w:kern w:val="0"/>
                      <w:szCs w:val="21"/>
                      <w:lang w:bidi="ar"/>
                    </w:rPr>
                    <w:t>TN</w:t>
                  </w:r>
                </w:p>
              </w:tc>
              <w:tc>
                <w:tcPr>
                  <w:tcW w:w="385" w:type="pct"/>
                  <w:vAlign w:val="center"/>
                </w:tcPr>
                <w:p>
                  <w:pPr>
                    <w:widowControl/>
                    <w:jc w:val="center"/>
                    <w:textAlignment w:val="center"/>
                    <w:rPr>
                      <w:kern w:val="0"/>
                      <w:szCs w:val="21"/>
                    </w:rPr>
                  </w:pPr>
                  <w:r>
                    <w:rPr>
                      <w:rFonts w:hint="eastAsia"/>
                      <w:kern w:val="0"/>
                      <w:szCs w:val="21"/>
                    </w:rPr>
                    <w:t>35</w:t>
                  </w:r>
                </w:p>
              </w:tc>
              <w:tc>
                <w:tcPr>
                  <w:tcW w:w="495" w:type="pct"/>
                  <w:vAlign w:val="center"/>
                </w:tcPr>
                <w:p>
                  <w:pPr>
                    <w:widowControl/>
                    <w:jc w:val="center"/>
                    <w:textAlignment w:val="center"/>
                    <w:rPr>
                      <w:kern w:val="0"/>
                      <w:szCs w:val="21"/>
                    </w:rPr>
                  </w:pPr>
                  <w:r>
                    <w:rPr>
                      <w:kern w:val="0"/>
                      <w:szCs w:val="21"/>
                    </w:rPr>
                    <w:t>0.0</w:t>
                  </w:r>
                  <w:r>
                    <w:rPr>
                      <w:rFonts w:hint="eastAsia"/>
                      <w:kern w:val="0"/>
                      <w:szCs w:val="21"/>
                    </w:rPr>
                    <w:t>105</w:t>
                  </w:r>
                </w:p>
              </w:tc>
              <w:tc>
                <w:tcPr>
                  <w:tcW w:w="515" w:type="pct"/>
                  <w:vAlign w:val="center"/>
                </w:tcPr>
                <w:p>
                  <w:pPr>
                    <w:widowControl/>
                    <w:jc w:val="center"/>
                    <w:textAlignment w:val="center"/>
                    <w:rPr>
                      <w:kern w:val="0"/>
                      <w:szCs w:val="21"/>
                    </w:rPr>
                  </w:pPr>
                  <w:r>
                    <w:rPr>
                      <w:rFonts w:hint="eastAsia"/>
                      <w:kern w:val="0"/>
                      <w:szCs w:val="21"/>
                    </w:rPr>
                    <w:t>0</w:t>
                  </w:r>
                </w:p>
              </w:tc>
              <w:tc>
                <w:tcPr>
                  <w:tcW w:w="457" w:type="pct"/>
                  <w:vAlign w:val="center"/>
                </w:tcPr>
                <w:p>
                  <w:pPr>
                    <w:widowControl/>
                    <w:jc w:val="center"/>
                    <w:textAlignment w:val="center"/>
                    <w:rPr>
                      <w:kern w:val="0"/>
                      <w:szCs w:val="21"/>
                    </w:rPr>
                  </w:pPr>
                  <w:r>
                    <w:rPr>
                      <w:rFonts w:hint="eastAsia"/>
                      <w:kern w:val="0"/>
                      <w:szCs w:val="21"/>
                    </w:rPr>
                    <w:t>35</w:t>
                  </w:r>
                </w:p>
              </w:tc>
              <w:tc>
                <w:tcPr>
                  <w:tcW w:w="551" w:type="pct"/>
                  <w:vAlign w:val="center"/>
                </w:tcPr>
                <w:p>
                  <w:pPr>
                    <w:widowControl/>
                    <w:jc w:val="center"/>
                    <w:textAlignment w:val="center"/>
                    <w:rPr>
                      <w:kern w:val="0"/>
                      <w:szCs w:val="21"/>
                    </w:rPr>
                  </w:pPr>
                  <w:r>
                    <w:rPr>
                      <w:kern w:val="0"/>
                      <w:szCs w:val="21"/>
                    </w:rPr>
                    <w:t>0.0</w:t>
                  </w:r>
                  <w:r>
                    <w:rPr>
                      <w:rFonts w:hint="eastAsia"/>
                      <w:kern w:val="0"/>
                      <w:szCs w:val="21"/>
                    </w:rPr>
                    <w:t>105</w:t>
                  </w:r>
                </w:p>
              </w:tc>
              <w:tc>
                <w:tcPr>
                  <w:tcW w:w="601" w:type="pct"/>
                  <w:vAlign w:val="center"/>
                </w:tcPr>
                <w:p>
                  <w:pPr>
                    <w:widowControl/>
                    <w:jc w:val="center"/>
                    <w:rPr>
                      <w:kern w:val="0"/>
                      <w:szCs w:val="21"/>
                    </w:rPr>
                  </w:pPr>
                  <w:r>
                    <w:rPr>
                      <w:rFonts w:hint="eastAsia"/>
                      <w:kern w:val="0"/>
                      <w:szCs w:val="21"/>
                    </w:rPr>
                    <w:t>15</w:t>
                  </w:r>
                </w:p>
              </w:tc>
              <w:tc>
                <w:tcPr>
                  <w:tcW w:w="548" w:type="pct"/>
                  <w:vAlign w:val="center"/>
                </w:tcPr>
                <w:p>
                  <w:pPr>
                    <w:widowControl/>
                    <w:jc w:val="center"/>
                    <w:textAlignment w:val="center"/>
                    <w:rPr>
                      <w:kern w:val="0"/>
                      <w:szCs w:val="21"/>
                    </w:rPr>
                  </w:pPr>
                  <w:r>
                    <w:rPr>
                      <w:kern w:val="0"/>
                      <w:szCs w:val="21"/>
                    </w:rPr>
                    <w:t>0.0</w:t>
                  </w:r>
                  <w:r>
                    <w:rPr>
                      <w:rFonts w:hint="eastAsia"/>
                      <w:kern w:val="0"/>
                      <w:szCs w:val="21"/>
                    </w:rPr>
                    <w:t>045</w:t>
                  </w:r>
                </w:p>
              </w:tc>
              <w:tc>
                <w:tcPr>
                  <w:tcW w:w="645" w:type="pct"/>
                  <w:vMerge w:val="continue"/>
                  <w:vAlign w:val="center"/>
                </w:tcPr>
                <w:p>
                  <w:pPr>
                    <w:widowControl/>
                    <w:jc w:val="center"/>
                    <w:rPr>
                      <w:kern w:val="0"/>
                      <w:szCs w:val="21"/>
                    </w:rPr>
                  </w:pPr>
                </w:p>
              </w:tc>
            </w:tr>
          </w:tbl>
          <w:p>
            <w:pPr>
              <w:adjustRightInd w:val="0"/>
              <w:snapToGrid w:val="0"/>
              <w:spacing w:line="500" w:lineRule="exact"/>
              <w:ind w:firstLine="482" w:firstLineChars="200"/>
              <w:rPr>
                <w:b/>
                <w:sz w:val="24"/>
              </w:rPr>
            </w:pPr>
            <w:r>
              <w:rPr>
                <w:rFonts w:hint="eastAsia"/>
                <w:b/>
                <w:sz w:val="24"/>
              </w:rPr>
              <w:t>（2）废水污染防治措施可行性分析</w:t>
            </w:r>
          </w:p>
          <w:p>
            <w:pPr>
              <w:widowControl/>
              <w:spacing w:line="500" w:lineRule="exact"/>
              <w:ind w:firstLine="480" w:firstLineChars="200"/>
              <w:jc w:val="left"/>
              <w:rPr>
                <w:sz w:val="24"/>
              </w:rPr>
            </w:pPr>
            <w:r>
              <w:rPr>
                <w:kern w:val="0"/>
                <w:sz w:val="24"/>
                <w:lang w:bidi="ar"/>
              </w:rPr>
              <w:t>本项目实行雨污分流、清污分流。雨水经雨水管网收集后排入市政雨水管网。本项目生活污水</w:t>
            </w:r>
            <w:r>
              <w:rPr>
                <w:rFonts w:hint="eastAsia"/>
                <w:kern w:val="0"/>
                <w:sz w:val="24"/>
                <w:lang w:bidi="ar"/>
              </w:rPr>
              <w:t>300</w:t>
            </w:r>
            <w:r>
              <w:rPr>
                <w:kern w:val="0"/>
                <w:sz w:val="24"/>
                <w:lang w:bidi="ar"/>
              </w:rPr>
              <w:t>t/a</w:t>
            </w:r>
            <w:r>
              <w:rPr>
                <w:rFonts w:hint="eastAsia"/>
                <w:color w:val="0000FF"/>
                <w:kern w:val="0"/>
                <w:sz w:val="24"/>
                <w:lang w:val="en-US" w:eastAsia="zh-CN" w:bidi="ar"/>
              </w:rPr>
              <w:t>经</w:t>
            </w:r>
            <w:r>
              <w:rPr>
                <w:color w:val="0000FF"/>
                <w:kern w:val="0"/>
                <w:sz w:val="24"/>
                <w:lang w:bidi="ar"/>
              </w:rPr>
              <w:t>化粪池收集后经园区污水管网进江苏港城污水处理有限公司集中处理</w:t>
            </w:r>
            <w:r>
              <w:rPr>
                <w:kern w:val="0"/>
                <w:sz w:val="24"/>
                <w:lang w:bidi="ar"/>
              </w:rPr>
              <w:t>，达到《城镇污水处理厂污染物排放标准》（GB189</w:t>
            </w:r>
            <w:r>
              <w:rPr>
                <w:rFonts w:hint="eastAsia"/>
                <w:color w:val="0000FF"/>
                <w:kern w:val="0"/>
                <w:sz w:val="24"/>
                <w:lang w:val="en-US" w:eastAsia="zh-CN" w:bidi="ar"/>
              </w:rPr>
              <w:t>1</w:t>
            </w:r>
            <w:r>
              <w:rPr>
                <w:kern w:val="0"/>
                <w:sz w:val="24"/>
                <w:lang w:bidi="ar"/>
              </w:rPr>
              <w:t>8-2002）表1中一级A标准后</w:t>
            </w:r>
            <w:r>
              <w:rPr>
                <w:rFonts w:ascii="宋体" w:hAnsi="宋体" w:cs="宋体"/>
                <w:sz w:val="24"/>
              </w:rPr>
              <w:t>排入盘头中沟</w:t>
            </w:r>
            <w:r>
              <w:rPr>
                <w:kern w:val="0"/>
                <w:sz w:val="24"/>
                <w:lang w:bidi="ar"/>
              </w:rPr>
              <w:t>。</w:t>
            </w:r>
          </w:p>
          <w:p>
            <w:pPr>
              <w:spacing w:line="500" w:lineRule="exact"/>
              <w:ind w:firstLine="480" w:firstLineChars="200"/>
              <w:rPr>
                <w:sz w:val="24"/>
              </w:rPr>
            </w:pPr>
            <w:r>
              <w:rPr>
                <w:rFonts w:hint="eastAsia"/>
                <w:sz w:val="24"/>
              </w:rPr>
              <w:t>化粪池原理：</w:t>
            </w:r>
          </w:p>
          <w:p>
            <w:pPr>
              <w:spacing w:line="500" w:lineRule="exact"/>
              <w:ind w:firstLine="480" w:firstLineChars="200"/>
              <w:rPr>
                <w:sz w:val="24"/>
              </w:rPr>
            </w:pPr>
            <w:r>
              <w:rPr>
                <w:sz w:val="24"/>
              </w:rPr>
              <w:t>化粪池是一种利用沉淀和厌氧发酵的原理，去除生活污水中悬浮性有机物的处理设施，属于初级的过渡性生活处理构筑物。项目使用两格化粪池，两格式化粪池是由两个相互连通的密封粪池组成，粪便由进粪管进入第一池</w:t>
            </w:r>
            <w:r>
              <w:rPr>
                <w:rFonts w:hint="eastAsia"/>
                <w:sz w:val="24"/>
              </w:rPr>
              <w:t>依次</w:t>
            </w:r>
            <w:r>
              <w:rPr>
                <w:sz w:val="24"/>
              </w:rPr>
              <w:t>顺流至第二池，其各池的主要原理：</w:t>
            </w:r>
          </w:p>
          <w:p>
            <w:pPr>
              <w:spacing w:line="500" w:lineRule="exact"/>
              <w:ind w:firstLine="480" w:firstLineChars="200"/>
              <w:rPr>
                <w:sz w:val="24"/>
              </w:rPr>
            </w:pPr>
            <w:r>
              <w:rPr>
                <w:sz w:val="24"/>
              </w:rPr>
              <w:t>第一池：主要截留含虫卵较多的粪便，粪便经发酵分解，松散的粪块因发酵膨胀而浮升，比重大的下沉，因而形成上浮的粪皮、中层的粪液和下沉的粪渣。利用寄生虫的比重大于粪尿混合液的原理使其自然沉降于化粪池底部。利用粪液的浸泡和翻动化解粪块使其液化并截留粪渣于池底。厌氧发酵：化粪池的密闭厌氧环境，可以分解蛋白性有机物，并产生氨等物质，这些物质具有杀灭寄生虫卵及病菌的作用。</w:t>
            </w:r>
          </w:p>
          <w:p>
            <w:pPr>
              <w:spacing w:line="500" w:lineRule="exact"/>
              <w:ind w:firstLine="480" w:firstLineChars="200"/>
              <w:rPr>
                <w:sz w:val="24"/>
              </w:rPr>
            </w:pPr>
            <w:r>
              <w:rPr>
                <w:sz w:val="24"/>
              </w:rPr>
              <w:t>第二池：进一步发酵、沉淀作用，与第一池相比，第二池的粪皮和粪渣的数量减少，因此发酵分解的程度较低，由于没有新粪便的进入，粪液处于比较静止状态，这有利于漂浮在粪池中的虫卵继续下沉。</w:t>
            </w:r>
          </w:p>
          <w:p>
            <w:pPr>
              <w:spacing w:line="500" w:lineRule="exact"/>
              <w:ind w:firstLine="480" w:firstLineChars="200"/>
              <w:rPr>
                <w:szCs w:val="21"/>
              </w:rPr>
            </w:pPr>
            <w:r>
              <w:rPr>
                <w:sz w:val="24"/>
              </w:rPr>
              <w:t>化粪池处理工艺对主要污染物处理效果情况见</w:t>
            </w:r>
            <w:r>
              <w:rPr>
                <w:rFonts w:hint="eastAsia"/>
                <w:sz w:val="24"/>
              </w:rPr>
              <w:t>下表</w:t>
            </w:r>
            <w:r>
              <w:rPr>
                <w:sz w:val="24"/>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bCs/>
                <w:szCs w:val="21"/>
              </w:rPr>
            </w:pPr>
            <w:r>
              <w:rPr>
                <w:b/>
                <w:szCs w:val="21"/>
              </w:rPr>
              <w:t>表4-</w:t>
            </w:r>
            <w:r>
              <w:rPr>
                <w:rFonts w:hint="eastAsia"/>
                <w:b/>
                <w:szCs w:val="21"/>
              </w:rPr>
              <w:t>10</w:t>
            </w:r>
            <w:r>
              <w:rPr>
                <w:b/>
                <w:szCs w:val="21"/>
              </w:rPr>
              <w:t>化粪池废水处理效果情况表</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969"/>
              <w:gridCol w:w="1801"/>
              <w:gridCol w:w="953"/>
              <w:gridCol w:w="970"/>
              <w:gridCol w:w="970"/>
              <w:gridCol w:w="953"/>
              <w:gridCol w:w="87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Merge w:val="restart"/>
                  <w:tcBorders>
                    <w:tl2br w:val="nil"/>
                    <w:tr2bl w:val="nil"/>
                  </w:tcBorders>
                  <w:vAlign w:val="center"/>
                </w:tcPr>
                <w:p>
                  <w:pPr>
                    <w:jc w:val="center"/>
                    <w:rPr>
                      <w:b/>
                      <w:bCs/>
                      <w:szCs w:val="21"/>
                    </w:rPr>
                  </w:pPr>
                  <w:r>
                    <w:rPr>
                      <w:b/>
                      <w:bCs/>
                      <w:szCs w:val="21"/>
                    </w:rPr>
                    <w:t>处理单元</w:t>
                  </w:r>
                </w:p>
              </w:tc>
              <w:tc>
                <w:tcPr>
                  <w:tcW w:w="565" w:type="pct"/>
                  <w:vMerge w:val="restart"/>
                  <w:tcBorders>
                    <w:tl2br w:val="nil"/>
                    <w:tr2bl w:val="nil"/>
                  </w:tcBorders>
                  <w:vAlign w:val="center"/>
                </w:tcPr>
                <w:p>
                  <w:pPr>
                    <w:jc w:val="center"/>
                    <w:rPr>
                      <w:b/>
                      <w:bCs/>
                      <w:szCs w:val="21"/>
                    </w:rPr>
                  </w:pPr>
                  <w:r>
                    <w:rPr>
                      <w:b/>
                      <w:bCs/>
                      <w:szCs w:val="21"/>
                    </w:rPr>
                    <w:t>水量（m</w:t>
                  </w:r>
                  <w:r>
                    <w:rPr>
                      <w:b/>
                      <w:bCs/>
                      <w:szCs w:val="21"/>
                      <w:vertAlign w:val="superscript"/>
                    </w:rPr>
                    <w:t>3</w:t>
                  </w:r>
                  <w:r>
                    <w:rPr>
                      <w:b/>
                      <w:bCs/>
                      <w:szCs w:val="21"/>
                    </w:rPr>
                    <w:t>/a）</w:t>
                  </w:r>
                </w:p>
              </w:tc>
              <w:tc>
                <w:tcPr>
                  <w:tcW w:w="1051" w:type="pct"/>
                  <w:vMerge w:val="restart"/>
                  <w:tcBorders>
                    <w:tl2br w:val="nil"/>
                    <w:tr2bl w:val="nil"/>
                  </w:tcBorders>
                  <w:vAlign w:val="center"/>
                </w:tcPr>
                <w:p>
                  <w:pPr>
                    <w:jc w:val="center"/>
                    <w:rPr>
                      <w:b/>
                      <w:bCs/>
                      <w:szCs w:val="21"/>
                    </w:rPr>
                  </w:pPr>
                  <w:r>
                    <w:rPr>
                      <w:b/>
                      <w:bCs/>
                      <w:szCs w:val="21"/>
                    </w:rPr>
                    <w:t>指标</w:t>
                  </w:r>
                </w:p>
              </w:tc>
              <w:tc>
                <w:tcPr>
                  <w:tcW w:w="2757" w:type="pct"/>
                  <w:gridSpan w:val="5"/>
                  <w:tcBorders>
                    <w:tl2br w:val="nil"/>
                    <w:tr2bl w:val="nil"/>
                  </w:tcBorders>
                  <w:vAlign w:val="center"/>
                </w:tcPr>
                <w:p>
                  <w:pPr>
                    <w:jc w:val="center"/>
                    <w:rPr>
                      <w:b/>
                      <w:bCs/>
                      <w:szCs w:val="21"/>
                    </w:rPr>
                  </w:pPr>
                  <w:r>
                    <w:rPr>
                      <w:b/>
                      <w:bCs/>
                      <w:szCs w:val="21"/>
                    </w:rPr>
                    <w:t>单位：mg/L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Merge w:val="continue"/>
                  <w:tcBorders>
                    <w:tl2br w:val="nil"/>
                    <w:tr2bl w:val="nil"/>
                  </w:tcBorders>
                  <w:vAlign w:val="center"/>
                </w:tcPr>
                <w:p>
                  <w:pPr>
                    <w:jc w:val="center"/>
                    <w:rPr>
                      <w:b/>
                      <w:bCs/>
                      <w:szCs w:val="21"/>
                    </w:rPr>
                  </w:pPr>
                </w:p>
              </w:tc>
              <w:tc>
                <w:tcPr>
                  <w:tcW w:w="565" w:type="pct"/>
                  <w:vMerge w:val="continue"/>
                  <w:tcBorders>
                    <w:tl2br w:val="nil"/>
                    <w:tr2bl w:val="nil"/>
                  </w:tcBorders>
                  <w:vAlign w:val="center"/>
                </w:tcPr>
                <w:p>
                  <w:pPr>
                    <w:jc w:val="center"/>
                    <w:rPr>
                      <w:b/>
                      <w:bCs/>
                      <w:szCs w:val="21"/>
                    </w:rPr>
                  </w:pPr>
                </w:p>
              </w:tc>
              <w:tc>
                <w:tcPr>
                  <w:tcW w:w="1051" w:type="pct"/>
                  <w:vMerge w:val="continue"/>
                  <w:tcBorders>
                    <w:tl2br w:val="nil"/>
                    <w:tr2bl w:val="nil"/>
                  </w:tcBorders>
                  <w:vAlign w:val="center"/>
                </w:tcPr>
                <w:p>
                  <w:pPr>
                    <w:jc w:val="center"/>
                    <w:rPr>
                      <w:b/>
                      <w:bCs/>
                      <w:szCs w:val="21"/>
                    </w:rPr>
                  </w:pPr>
                </w:p>
              </w:tc>
              <w:tc>
                <w:tcPr>
                  <w:tcW w:w="556" w:type="pct"/>
                  <w:tcBorders>
                    <w:tl2br w:val="nil"/>
                    <w:tr2bl w:val="nil"/>
                  </w:tcBorders>
                  <w:vAlign w:val="center"/>
                </w:tcPr>
                <w:p>
                  <w:pPr>
                    <w:jc w:val="center"/>
                    <w:rPr>
                      <w:b/>
                      <w:bCs/>
                      <w:szCs w:val="21"/>
                    </w:rPr>
                  </w:pPr>
                  <w:r>
                    <w:rPr>
                      <w:b/>
                      <w:bCs/>
                      <w:szCs w:val="21"/>
                    </w:rPr>
                    <w:t>COD</w:t>
                  </w:r>
                </w:p>
              </w:tc>
              <w:tc>
                <w:tcPr>
                  <w:tcW w:w="566" w:type="pct"/>
                  <w:tcBorders>
                    <w:tl2br w:val="nil"/>
                    <w:tr2bl w:val="nil"/>
                  </w:tcBorders>
                  <w:vAlign w:val="center"/>
                </w:tcPr>
                <w:p>
                  <w:pPr>
                    <w:jc w:val="center"/>
                    <w:rPr>
                      <w:b/>
                      <w:bCs/>
                      <w:szCs w:val="21"/>
                    </w:rPr>
                  </w:pPr>
                  <w:r>
                    <w:rPr>
                      <w:b/>
                      <w:bCs/>
                      <w:szCs w:val="21"/>
                    </w:rPr>
                    <w:t>SS</w:t>
                  </w:r>
                </w:p>
              </w:tc>
              <w:tc>
                <w:tcPr>
                  <w:tcW w:w="566" w:type="pct"/>
                  <w:tcBorders>
                    <w:tl2br w:val="nil"/>
                    <w:tr2bl w:val="nil"/>
                  </w:tcBorders>
                  <w:vAlign w:val="center"/>
                </w:tcPr>
                <w:p>
                  <w:pPr>
                    <w:jc w:val="center"/>
                    <w:rPr>
                      <w:b/>
                      <w:bCs/>
                      <w:szCs w:val="21"/>
                    </w:rPr>
                  </w:pPr>
                  <w:r>
                    <w:rPr>
                      <w:b/>
                      <w:bCs/>
                      <w:szCs w:val="21"/>
                    </w:rPr>
                    <w:t>氨氮</w:t>
                  </w:r>
                </w:p>
              </w:tc>
              <w:tc>
                <w:tcPr>
                  <w:tcW w:w="556" w:type="pct"/>
                  <w:tcBorders>
                    <w:tl2br w:val="nil"/>
                    <w:tr2bl w:val="nil"/>
                  </w:tcBorders>
                  <w:vAlign w:val="center"/>
                </w:tcPr>
                <w:p>
                  <w:pPr>
                    <w:jc w:val="center"/>
                    <w:rPr>
                      <w:b/>
                      <w:bCs/>
                      <w:szCs w:val="21"/>
                    </w:rPr>
                  </w:pPr>
                  <w:r>
                    <w:rPr>
                      <w:b/>
                      <w:bCs/>
                      <w:szCs w:val="21"/>
                    </w:rPr>
                    <w:t>总磷</w:t>
                  </w:r>
                </w:p>
              </w:tc>
              <w:tc>
                <w:tcPr>
                  <w:tcW w:w="512" w:type="pct"/>
                  <w:tcBorders>
                    <w:tl2br w:val="nil"/>
                    <w:tr2bl w:val="nil"/>
                  </w:tcBorders>
                  <w:vAlign w:val="center"/>
                </w:tcPr>
                <w:p>
                  <w:pPr>
                    <w:jc w:val="center"/>
                    <w:rPr>
                      <w:b/>
                      <w:bCs/>
                      <w:szCs w:val="21"/>
                    </w:rPr>
                  </w:pPr>
                  <w:r>
                    <w:rPr>
                      <w:b/>
                      <w:bCs/>
                      <w:szCs w:val="21"/>
                    </w:rPr>
                    <w:t>总氮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Merge w:val="restart"/>
                  <w:tcBorders>
                    <w:tl2br w:val="nil"/>
                    <w:tr2bl w:val="nil"/>
                  </w:tcBorders>
                  <w:vAlign w:val="center"/>
                </w:tcPr>
                <w:p>
                  <w:pPr>
                    <w:jc w:val="center"/>
                    <w:rPr>
                      <w:szCs w:val="21"/>
                    </w:rPr>
                  </w:pPr>
                  <w:r>
                    <w:rPr>
                      <w:szCs w:val="21"/>
                    </w:rPr>
                    <w:t>化粪池</w:t>
                  </w:r>
                </w:p>
              </w:tc>
              <w:tc>
                <w:tcPr>
                  <w:tcW w:w="565" w:type="pct"/>
                  <w:vMerge w:val="restart"/>
                  <w:tcBorders>
                    <w:tl2br w:val="nil"/>
                    <w:tr2bl w:val="nil"/>
                  </w:tcBorders>
                  <w:vAlign w:val="center"/>
                </w:tcPr>
                <w:p>
                  <w:pPr>
                    <w:jc w:val="center"/>
                    <w:rPr>
                      <w:szCs w:val="21"/>
                    </w:rPr>
                  </w:pPr>
                  <w:r>
                    <w:rPr>
                      <w:rFonts w:hint="eastAsia"/>
                      <w:szCs w:val="21"/>
                    </w:rPr>
                    <w:t>300</w:t>
                  </w:r>
                </w:p>
              </w:tc>
              <w:tc>
                <w:tcPr>
                  <w:tcW w:w="1051" w:type="pct"/>
                  <w:tcBorders>
                    <w:tl2br w:val="nil"/>
                    <w:tr2bl w:val="nil"/>
                  </w:tcBorders>
                  <w:vAlign w:val="center"/>
                </w:tcPr>
                <w:p>
                  <w:pPr>
                    <w:jc w:val="center"/>
                    <w:rPr>
                      <w:szCs w:val="21"/>
                    </w:rPr>
                  </w:pPr>
                  <w:r>
                    <w:rPr>
                      <w:szCs w:val="21"/>
                    </w:rPr>
                    <w:t>进水</w:t>
                  </w:r>
                </w:p>
              </w:tc>
              <w:tc>
                <w:tcPr>
                  <w:tcW w:w="556" w:type="pct"/>
                  <w:tcBorders>
                    <w:tl2br w:val="nil"/>
                    <w:tr2bl w:val="nil"/>
                  </w:tcBorders>
                  <w:vAlign w:val="center"/>
                </w:tcPr>
                <w:p>
                  <w:pPr>
                    <w:jc w:val="center"/>
                    <w:rPr>
                      <w:szCs w:val="21"/>
                    </w:rPr>
                  </w:pPr>
                  <w:r>
                    <w:rPr>
                      <w:szCs w:val="21"/>
                    </w:rPr>
                    <w:t>400</w:t>
                  </w:r>
                </w:p>
              </w:tc>
              <w:tc>
                <w:tcPr>
                  <w:tcW w:w="566" w:type="pct"/>
                  <w:tcBorders>
                    <w:tl2br w:val="nil"/>
                    <w:tr2bl w:val="nil"/>
                  </w:tcBorders>
                  <w:vAlign w:val="center"/>
                </w:tcPr>
                <w:p>
                  <w:pPr>
                    <w:jc w:val="center"/>
                    <w:rPr>
                      <w:szCs w:val="21"/>
                    </w:rPr>
                  </w:pPr>
                  <w:r>
                    <w:rPr>
                      <w:szCs w:val="21"/>
                    </w:rPr>
                    <w:t>250</w:t>
                  </w:r>
                </w:p>
              </w:tc>
              <w:tc>
                <w:tcPr>
                  <w:tcW w:w="566" w:type="pct"/>
                  <w:tcBorders>
                    <w:tl2br w:val="nil"/>
                    <w:tr2bl w:val="nil"/>
                  </w:tcBorders>
                  <w:vAlign w:val="center"/>
                </w:tcPr>
                <w:p>
                  <w:pPr>
                    <w:jc w:val="center"/>
                    <w:rPr>
                      <w:szCs w:val="21"/>
                    </w:rPr>
                  </w:pPr>
                  <w:r>
                    <w:rPr>
                      <w:szCs w:val="21"/>
                    </w:rPr>
                    <w:t>25</w:t>
                  </w:r>
                </w:p>
              </w:tc>
              <w:tc>
                <w:tcPr>
                  <w:tcW w:w="556" w:type="pct"/>
                  <w:tcBorders>
                    <w:tl2br w:val="nil"/>
                    <w:tr2bl w:val="nil"/>
                  </w:tcBorders>
                  <w:vAlign w:val="center"/>
                </w:tcPr>
                <w:p>
                  <w:pPr>
                    <w:jc w:val="center"/>
                    <w:rPr>
                      <w:szCs w:val="21"/>
                    </w:rPr>
                  </w:pPr>
                  <w:r>
                    <w:rPr>
                      <w:szCs w:val="21"/>
                    </w:rPr>
                    <w:t>3</w:t>
                  </w:r>
                </w:p>
              </w:tc>
              <w:tc>
                <w:tcPr>
                  <w:tcW w:w="512" w:type="pct"/>
                  <w:tcBorders>
                    <w:tl2br w:val="nil"/>
                    <w:tr2bl w:val="nil"/>
                  </w:tcBorders>
                  <w:vAlign w:val="center"/>
                </w:tcPr>
                <w:p>
                  <w:pPr>
                    <w:jc w:val="center"/>
                    <w:rPr>
                      <w:szCs w:val="21"/>
                    </w:rPr>
                  </w:pPr>
                  <w:r>
                    <w:rPr>
                      <w:szCs w:val="21"/>
                    </w:rPr>
                    <w:t>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Merge w:val="continue"/>
                  <w:tcBorders>
                    <w:tl2br w:val="nil"/>
                    <w:tr2bl w:val="nil"/>
                  </w:tcBorders>
                  <w:vAlign w:val="center"/>
                </w:tcPr>
                <w:p>
                  <w:pPr>
                    <w:jc w:val="center"/>
                    <w:rPr>
                      <w:szCs w:val="21"/>
                    </w:rPr>
                  </w:pPr>
                </w:p>
              </w:tc>
              <w:tc>
                <w:tcPr>
                  <w:tcW w:w="565" w:type="pct"/>
                  <w:vMerge w:val="continue"/>
                  <w:tcBorders>
                    <w:tl2br w:val="nil"/>
                    <w:tr2bl w:val="nil"/>
                  </w:tcBorders>
                  <w:vAlign w:val="center"/>
                </w:tcPr>
                <w:p>
                  <w:pPr>
                    <w:jc w:val="center"/>
                    <w:rPr>
                      <w:szCs w:val="21"/>
                    </w:rPr>
                  </w:pPr>
                </w:p>
              </w:tc>
              <w:tc>
                <w:tcPr>
                  <w:tcW w:w="1051" w:type="pct"/>
                  <w:tcBorders>
                    <w:tl2br w:val="nil"/>
                    <w:tr2bl w:val="nil"/>
                  </w:tcBorders>
                  <w:vAlign w:val="center"/>
                </w:tcPr>
                <w:p>
                  <w:pPr>
                    <w:jc w:val="center"/>
                    <w:rPr>
                      <w:szCs w:val="21"/>
                    </w:rPr>
                  </w:pPr>
                  <w:r>
                    <w:rPr>
                      <w:szCs w:val="21"/>
                    </w:rPr>
                    <w:t>去除效率（%）</w:t>
                  </w:r>
                </w:p>
              </w:tc>
              <w:tc>
                <w:tcPr>
                  <w:tcW w:w="556" w:type="pct"/>
                  <w:tcBorders>
                    <w:tl2br w:val="nil"/>
                    <w:tr2bl w:val="nil"/>
                  </w:tcBorders>
                  <w:vAlign w:val="center"/>
                </w:tcPr>
                <w:p>
                  <w:pPr>
                    <w:jc w:val="center"/>
                    <w:rPr>
                      <w:szCs w:val="21"/>
                    </w:rPr>
                  </w:pPr>
                  <w:r>
                    <w:rPr>
                      <w:szCs w:val="21"/>
                    </w:rPr>
                    <w:t>15</w:t>
                  </w:r>
                </w:p>
              </w:tc>
              <w:tc>
                <w:tcPr>
                  <w:tcW w:w="566" w:type="pct"/>
                  <w:tcBorders>
                    <w:tl2br w:val="nil"/>
                    <w:tr2bl w:val="nil"/>
                  </w:tcBorders>
                  <w:vAlign w:val="center"/>
                </w:tcPr>
                <w:p>
                  <w:pPr>
                    <w:jc w:val="center"/>
                    <w:rPr>
                      <w:szCs w:val="21"/>
                    </w:rPr>
                  </w:pPr>
                  <w:r>
                    <w:rPr>
                      <w:szCs w:val="21"/>
                    </w:rPr>
                    <w:t>20</w:t>
                  </w:r>
                </w:p>
              </w:tc>
              <w:tc>
                <w:tcPr>
                  <w:tcW w:w="566" w:type="pct"/>
                  <w:tcBorders>
                    <w:tl2br w:val="nil"/>
                    <w:tr2bl w:val="nil"/>
                  </w:tcBorders>
                  <w:vAlign w:val="center"/>
                </w:tcPr>
                <w:p>
                  <w:pPr>
                    <w:jc w:val="center"/>
                    <w:rPr>
                      <w:szCs w:val="21"/>
                    </w:rPr>
                  </w:pPr>
                  <w:r>
                    <w:rPr>
                      <w:szCs w:val="21"/>
                    </w:rPr>
                    <w:t>0</w:t>
                  </w:r>
                </w:p>
              </w:tc>
              <w:tc>
                <w:tcPr>
                  <w:tcW w:w="556" w:type="pct"/>
                  <w:tcBorders>
                    <w:tl2br w:val="nil"/>
                    <w:tr2bl w:val="nil"/>
                  </w:tcBorders>
                  <w:vAlign w:val="center"/>
                </w:tcPr>
                <w:p>
                  <w:pPr>
                    <w:jc w:val="center"/>
                    <w:rPr>
                      <w:szCs w:val="21"/>
                    </w:rPr>
                  </w:pPr>
                  <w:r>
                    <w:rPr>
                      <w:szCs w:val="21"/>
                    </w:rPr>
                    <w:t>0</w:t>
                  </w:r>
                </w:p>
              </w:tc>
              <w:tc>
                <w:tcPr>
                  <w:tcW w:w="512" w:type="pct"/>
                  <w:tcBorders>
                    <w:tl2br w:val="nil"/>
                    <w:tr2bl w:val="nil"/>
                  </w:tcBorders>
                  <w:vAlign w:val="center"/>
                </w:tcPr>
                <w:p>
                  <w:pPr>
                    <w:jc w:val="center"/>
                    <w:rPr>
                      <w:szCs w:val="21"/>
                    </w:rPr>
                  </w:pPr>
                  <w:r>
                    <w:rPr>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Merge w:val="continue"/>
                  <w:tcBorders>
                    <w:tl2br w:val="nil"/>
                    <w:tr2bl w:val="nil"/>
                  </w:tcBorders>
                  <w:vAlign w:val="center"/>
                </w:tcPr>
                <w:p>
                  <w:pPr>
                    <w:jc w:val="center"/>
                    <w:rPr>
                      <w:szCs w:val="21"/>
                    </w:rPr>
                  </w:pPr>
                </w:p>
              </w:tc>
              <w:tc>
                <w:tcPr>
                  <w:tcW w:w="565" w:type="pct"/>
                  <w:vMerge w:val="continue"/>
                  <w:tcBorders>
                    <w:tl2br w:val="nil"/>
                    <w:tr2bl w:val="nil"/>
                  </w:tcBorders>
                  <w:vAlign w:val="center"/>
                </w:tcPr>
                <w:p>
                  <w:pPr>
                    <w:jc w:val="center"/>
                    <w:rPr>
                      <w:szCs w:val="21"/>
                    </w:rPr>
                  </w:pPr>
                </w:p>
              </w:tc>
              <w:tc>
                <w:tcPr>
                  <w:tcW w:w="1051" w:type="pct"/>
                  <w:tcBorders>
                    <w:tl2br w:val="nil"/>
                    <w:tr2bl w:val="nil"/>
                  </w:tcBorders>
                  <w:vAlign w:val="center"/>
                </w:tcPr>
                <w:p>
                  <w:pPr>
                    <w:jc w:val="center"/>
                    <w:rPr>
                      <w:szCs w:val="21"/>
                    </w:rPr>
                  </w:pPr>
                  <w:r>
                    <w:rPr>
                      <w:szCs w:val="21"/>
                    </w:rPr>
                    <w:t>出水</w:t>
                  </w:r>
                </w:p>
              </w:tc>
              <w:tc>
                <w:tcPr>
                  <w:tcW w:w="556" w:type="pct"/>
                  <w:tcBorders>
                    <w:tl2br w:val="nil"/>
                    <w:tr2bl w:val="nil"/>
                  </w:tcBorders>
                  <w:vAlign w:val="center"/>
                </w:tcPr>
                <w:p>
                  <w:pPr>
                    <w:jc w:val="center"/>
                    <w:rPr>
                      <w:szCs w:val="21"/>
                    </w:rPr>
                  </w:pPr>
                  <w:r>
                    <w:rPr>
                      <w:szCs w:val="21"/>
                    </w:rPr>
                    <w:t>340</w:t>
                  </w:r>
                </w:p>
              </w:tc>
              <w:tc>
                <w:tcPr>
                  <w:tcW w:w="566" w:type="pct"/>
                  <w:tcBorders>
                    <w:tl2br w:val="nil"/>
                    <w:tr2bl w:val="nil"/>
                  </w:tcBorders>
                  <w:vAlign w:val="center"/>
                </w:tcPr>
                <w:p>
                  <w:pPr>
                    <w:jc w:val="center"/>
                    <w:rPr>
                      <w:szCs w:val="21"/>
                    </w:rPr>
                  </w:pPr>
                  <w:r>
                    <w:rPr>
                      <w:szCs w:val="21"/>
                    </w:rPr>
                    <w:t>200</w:t>
                  </w:r>
                </w:p>
              </w:tc>
              <w:tc>
                <w:tcPr>
                  <w:tcW w:w="566" w:type="pct"/>
                  <w:tcBorders>
                    <w:tl2br w:val="nil"/>
                    <w:tr2bl w:val="nil"/>
                  </w:tcBorders>
                  <w:vAlign w:val="center"/>
                </w:tcPr>
                <w:p>
                  <w:pPr>
                    <w:jc w:val="center"/>
                    <w:rPr>
                      <w:szCs w:val="21"/>
                    </w:rPr>
                  </w:pPr>
                  <w:r>
                    <w:rPr>
                      <w:szCs w:val="21"/>
                    </w:rPr>
                    <w:t>25</w:t>
                  </w:r>
                </w:p>
              </w:tc>
              <w:tc>
                <w:tcPr>
                  <w:tcW w:w="556" w:type="pct"/>
                  <w:tcBorders>
                    <w:tl2br w:val="nil"/>
                    <w:tr2bl w:val="nil"/>
                  </w:tcBorders>
                  <w:vAlign w:val="center"/>
                </w:tcPr>
                <w:p>
                  <w:pPr>
                    <w:jc w:val="center"/>
                    <w:rPr>
                      <w:szCs w:val="21"/>
                    </w:rPr>
                  </w:pPr>
                  <w:r>
                    <w:rPr>
                      <w:szCs w:val="21"/>
                    </w:rPr>
                    <w:t>3</w:t>
                  </w:r>
                </w:p>
              </w:tc>
              <w:tc>
                <w:tcPr>
                  <w:tcW w:w="512" w:type="pct"/>
                  <w:tcBorders>
                    <w:tl2br w:val="nil"/>
                    <w:tr2bl w:val="nil"/>
                  </w:tcBorders>
                  <w:vAlign w:val="center"/>
                </w:tcPr>
                <w:p>
                  <w:pPr>
                    <w:jc w:val="center"/>
                    <w:rPr>
                      <w:szCs w:val="21"/>
                    </w:rPr>
                  </w:pPr>
                  <w:r>
                    <w:rPr>
                      <w:szCs w:val="21"/>
                    </w:rPr>
                    <w:t>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1" w:type="pct"/>
                  <w:gridSpan w:val="2"/>
                  <w:tcBorders>
                    <w:tl2br w:val="nil"/>
                    <w:tr2bl w:val="nil"/>
                  </w:tcBorders>
                  <w:vAlign w:val="center"/>
                </w:tcPr>
                <w:p>
                  <w:pPr>
                    <w:jc w:val="center"/>
                    <w:rPr>
                      <w:szCs w:val="21"/>
                    </w:rPr>
                  </w:pPr>
                  <w:r>
                    <w:rPr>
                      <w:szCs w:val="21"/>
                    </w:rPr>
                    <w:t>接管标准</w:t>
                  </w:r>
                </w:p>
              </w:tc>
              <w:tc>
                <w:tcPr>
                  <w:tcW w:w="1051" w:type="pct"/>
                  <w:tcBorders>
                    <w:tl2br w:val="nil"/>
                    <w:tr2bl w:val="nil"/>
                  </w:tcBorders>
                  <w:vAlign w:val="center"/>
                </w:tcPr>
                <w:p>
                  <w:pPr>
                    <w:jc w:val="center"/>
                    <w:rPr>
                      <w:szCs w:val="21"/>
                    </w:rPr>
                  </w:pPr>
                  <w:r>
                    <w:rPr>
                      <w:szCs w:val="21"/>
                    </w:rPr>
                    <w:t>/</w:t>
                  </w:r>
                </w:p>
              </w:tc>
              <w:tc>
                <w:tcPr>
                  <w:tcW w:w="556" w:type="pct"/>
                  <w:tcBorders>
                    <w:tl2br w:val="nil"/>
                    <w:tr2bl w:val="nil"/>
                  </w:tcBorders>
                  <w:vAlign w:val="center"/>
                </w:tcPr>
                <w:p>
                  <w:pPr>
                    <w:jc w:val="center"/>
                    <w:rPr>
                      <w:szCs w:val="21"/>
                    </w:rPr>
                  </w:pPr>
                  <w:r>
                    <w:rPr>
                      <w:szCs w:val="21"/>
                    </w:rPr>
                    <w:t>≤500</w:t>
                  </w:r>
                </w:p>
              </w:tc>
              <w:tc>
                <w:tcPr>
                  <w:tcW w:w="566" w:type="pct"/>
                  <w:tcBorders>
                    <w:tl2br w:val="nil"/>
                    <w:tr2bl w:val="nil"/>
                  </w:tcBorders>
                  <w:vAlign w:val="center"/>
                </w:tcPr>
                <w:p>
                  <w:pPr>
                    <w:jc w:val="center"/>
                    <w:rPr>
                      <w:szCs w:val="21"/>
                    </w:rPr>
                  </w:pPr>
                  <w:r>
                    <w:rPr>
                      <w:szCs w:val="21"/>
                    </w:rPr>
                    <w:t>≤400</w:t>
                  </w:r>
                </w:p>
              </w:tc>
              <w:tc>
                <w:tcPr>
                  <w:tcW w:w="566" w:type="pct"/>
                  <w:tcBorders>
                    <w:tl2br w:val="nil"/>
                    <w:tr2bl w:val="nil"/>
                  </w:tcBorders>
                  <w:vAlign w:val="center"/>
                </w:tcPr>
                <w:p>
                  <w:pPr>
                    <w:jc w:val="center"/>
                    <w:rPr>
                      <w:szCs w:val="21"/>
                    </w:rPr>
                  </w:pPr>
                  <w:r>
                    <w:rPr>
                      <w:szCs w:val="21"/>
                    </w:rPr>
                    <w:t>≤45</w:t>
                  </w:r>
                </w:p>
              </w:tc>
              <w:tc>
                <w:tcPr>
                  <w:tcW w:w="556" w:type="pct"/>
                  <w:tcBorders>
                    <w:tl2br w:val="nil"/>
                    <w:tr2bl w:val="nil"/>
                  </w:tcBorders>
                  <w:vAlign w:val="center"/>
                </w:tcPr>
                <w:p>
                  <w:pPr>
                    <w:jc w:val="center"/>
                    <w:rPr>
                      <w:szCs w:val="21"/>
                    </w:rPr>
                  </w:pPr>
                  <w:r>
                    <w:rPr>
                      <w:szCs w:val="21"/>
                    </w:rPr>
                    <w:t>≤5</w:t>
                  </w:r>
                </w:p>
              </w:tc>
              <w:tc>
                <w:tcPr>
                  <w:tcW w:w="512" w:type="pct"/>
                  <w:tcBorders>
                    <w:tl2br w:val="nil"/>
                    <w:tr2bl w:val="nil"/>
                  </w:tcBorders>
                  <w:vAlign w:val="center"/>
                </w:tcPr>
                <w:p>
                  <w:pPr>
                    <w:jc w:val="center"/>
                    <w:rPr>
                      <w:szCs w:val="21"/>
                    </w:rPr>
                  </w:pPr>
                  <w:r>
                    <w:rPr>
                      <w:szCs w:val="21"/>
                    </w:rPr>
                    <w:t>≤70</w:t>
                  </w:r>
                </w:p>
              </w:tc>
            </w:tr>
          </w:tbl>
          <w:p>
            <w:pPr>
              <w:spacing w:line="500" w:lineRule="exact"/>
              <w:ind w:firstLine="480" w:firstLineChars="200"/>
              <w:rPr>
                <w:sz w:val="24"/>
              </w:rPr>
            </w:pPr>
            <w:r>
              <w:rPr>
                <w:sz w:val="24"/>
              </w:rPr>
              <w:t>项目生活污水产生量为</w:t>
            </w:r>
            <w:r>
              <w:rPr>
                <w:rFonts w:hint="eastAsia"/>
                <w:sz w:val="24"/>
              </w:rPr>
              <w:t>1</w:t>
            </w:r>
            <w:r>
              <w:rPr>
                <w:sz w:val="24"/>
              </w:rPr>
              <w:t>m</w:t>
            </w:r>
            <w:r>
              <w:rPr>
                <w:sz w:val="24"/>
                <w:vertAlign w:val="superscript"/>
              </w:rPr>
              <w:t>3</w:t>
            </w:r>
            <w:r>
              <w:rPr>
                <w:sz w:val="24"/>
              </w:rPr>
              <w:t>/d，依托厂区现有化粪池</w:t>
            </w:r>
            <w:r>
              <w:rPr>
                <w:rFonts w:hint="eastAsia"/>
                <w:sz w:val="24"/>
              </w:rPr>
              <w:t>预处理后能够满足江苏港城污水处理有限公司设计接管水质要求，该工艺在技术上是可行的。</w:t>
            </w:r>
            <w:r>
              <w:rPr>
                <w:sz w:val="24"/>
              </w:rPr>
              <w:t>因此，生活污水经化粪池处理是可行的。</w:t>
            </w:r>
          </w:p>
          <w:p>
            <w:pPr>
              <w:spacing w:line="500" w:lineRule="exact"/>
              <w:ind w:firstLine="482" w:firstLineChars="200"/>
              <w:rPr>
                <w:rFonts w:ascii="宋体" w:hAnsi="宋体"/>
                <w:b/>
                <w:bCs/>
                <w:sz w:val="24"/>
              </w:rPr>
            </w:pPr>
            <w:r>
              <w:rPr>
                <w:rFonts w:hint="default" w:ascii="Times New Roman" w:hAnsi="Times New Roman" w:cs="Times New Roman"/>
                <w:b/>
                <w:bCs/>
                <w:sz w:val="24"/>
              </w:rPr>
              <w:t>（3）废水接入江苏港城污水处理有限公司可行性分析：</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sz w:val="24"/>
              </w:rPr>
            </w:pPr>
            <w:r>
              <w:rPr>
                <w:sz w:val="24"/>
              </w:rPr>
              <w:t>项目运营期废水经厂内预处理后接管江苏港城污水处理有限公司集中处理。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sz w:val="24"/>
              </w:rPr>
            </w:pPr>
            <w:r>
              <w:rPr>
                <w:sz w:val="24"/>
              </w:rPr>
              <w:t>（1）污水处理厂概况、服务范围及处理能力</w:t>
            </w:r>
          </w:p>
          <w:p>
            <w:pPr>
              <w:spacing w:line="500" w:lineRule="exact"/>
              <w:ind w:firstLine="480" w:firstLineChars="200"/>
              <w:rPr>
                <w:sz w:val="24"/>
              </w:rPr>
            </w:pPr>
            <w:r>
              <w:rPr>
                <w:sz w:val="24"/>
              </w:rPr>
              <w:t>①处理范围及规模</w:t>
            </w:r>
          </w:p>
          <w:p>
            <w:pPr>
              <w:spacing w:line="500" w:lineRule="exact"/>
              <w:ind w:firstLine="480" w:firstLineChars="200"/>
              <w:rPr>
                <w:sz w:val="24"/>
              </w:rPr>
            </w:pPr>
            <w:r>
              <w:rPr>
                <w:sz w:val="24"/>
              </w:rPr>
              <w:t>江苏港城污水处理有限公司（原泰州永安洲污水处理厂）主要收集永安洲镇域范围内的生活污水及工业废水。随着高港区排水规划调整，江苏泰州高港高新技术产业园工业废水及新增生活污水、高港主城区（除扬子江路以西排入凯发新泉污水处理厂）、临港经济园及永安洲核心港区污水也已纳入其服务范围。</w:t>
            </w:r>
          </w:p>
          <w:p>
            <w:pPr>
              <w:spacing w:line="500" w:lineRule="exact"/>
              <w:ind w:firstLine="480" w:firstLineChars="200"/>
              <w:rPr>
                <w:sz w:val="24"/>
              </w:rPr>
            </w:pPr>
            <w:r>
              <w:rPr>
                <w:sz w:val="24"/>
              </w:rPr>
              <w:t>2013年，二期工程总建设规模为30000m</w:t>
            </w:r>
            <w:r>
              <w:rPr>
                <w:sz w:val="24"/>
                <w:vertAlign w:val="superscript"/>
              </w:rPr>
              <w:t>3</w:t>
            </w:r>
            <w:r>
              <w:rPr>
                <w:sz w:val="24"/>
              </w:rPr>
              <w:t>/d（包括：一期工程续建10000m</w:t>
            </w:r>
            <w:r>
              <w:rPr>
                <w:sz w:val="24"/>
                <w:vertAlign w:val="superscript"/>
              </w:rPr>
              <w:t>3</w:t>
            </w:r>
            <w:r>
              <w:rPr>
                <w:sz w:val="24"/>
              </w:rPr>
              <w:t>/d，二期工程扩建20000m</w:t>
            </w:r>
            <w:r>
              <w:rPr>
                <w:sz w:val="24"/>
                <w:vertAlign w:val="superscript"/>
              </w:rPr>
              <w:t>3</w:t>
            </w:r>
            <w:r>
              <w:rPr>
                <w:sz w:val="24"/>
              </w:rPr>
              <w:t>/d）。目前，二期工程已建成投运，全厂总处理规模达到40000t/d，目前污水处理厂已接纳废水量</w:t>
            </w:r>
            <w:r>
              <w:rPr>
                <w:rFonts w:hint="eastAsia"/>
                <w:sz w:val="24"/>
              </w:rPr>
              <w:t>3</w:t>
            </w:r>
            <w:r>
              <w:rPr>
                <w:sz w:val="24"/>
              </w:rPr>
              <w:t>5000t/d，剩余处理能力为5000t/d。</w:t>
            </w:r>
          </w:p>
          <w:p>
            <w:pPr>
              <w:spacing w:line="500" w:lineRule="exact"/>
              <w:ind w:firstLine="480" w:firstLineChars="200"/>
              <w:rPr>
                <w:sz w:val="24"/>
              </w:rPr>
            </w:pPr>
            <w:r>
              <w:rPr>
                <w:sz w:val="24"/>
              </w:rPr>
              <w:t>②处理工艺</w:t>
            </w:r>
          </w:p>
          <w:p>
            <w:pPr>
              <w:spacing w:line="500" w:lineRule="exact"/>
              <w:ind w:firstLine="480" w:firstLineChars="200"/>
              <w:rPr>
                <w:sz w:val="24"/>
              </w:rPr>
            </w:pPr>
            <w:r>
              <w:rPr>
                <w:sz w:val="24"/>
              </w:rPr>
              <w:t>江苏港城污水处理有限公司一期工程采用</w:t>
            </w:r>
            <w:r>
              <w:rPr>
                <w:rFonts w:hint="eastAsia"/>
                <w:color w:val="0000FF"/>
                <w:sz w:val="24"/>
                <w:lang w:eastAsia="zh-CN"/>
              </w:rPr>
              <w:t>“</w:t>
            </w:r>
            <w:r>
              <w:rPr>
                <w:sz w:val="24"/>
              </w:rPr>
              <w:t>水解酸化+A/A/O+高效沉淀+过滤+消毒</w:t>
            </w:r>
            <w:r>
              <w:rPr>
                <w:rFonts w:hint="eastAsia"/>
                <w:color w:val="0000FF"/>
                <w:sz w:val="24"/>
                <w:lang w:eastAsia="zh-CN"/>
              </w:rPr>
              <w:t>”</w:t>
            </w:r>
            <w:r>
              <w:rPr>
                <w:sz w:val="24"/>
              </w:rPr>
              <w:t>的处理工艺，二期工程采用</w:t>
            </w:r>
            <w:r>
              <w:rPr>
                <w:rFonts w:hint="eastAsia"/>
                <w:color w:val="0000FF"/>
                <w:sz w:val="24"/>
                <w:lang w:eastAsia="zh-CN"/>
              </w:rPr>
              <w:t>“</w:t>
            </w:r>
            <w:r>
              <w:rPr>
                <w:sz w:val="24"/>
              </w:rPr>
              <w:t>调节池+水解酸化+A/A/O+混凝沉淀+过滤+消毒</w:t>
            </w:r>
            <w:r>
              <w:rPr>
                <w:rFonts w:hint="eastAsia"/>
                <w:color w:val="0000FF"/>
                <w:sz w:val="24"/>
                <w:lang w:eastAsia="zh-CN"/>
              </w:rPr>
              <w:t>”</w:t>
            </w:r>
            <w:r>
              <w:rPr>
                <w:sz w:val="24"/>
              </w:rPr>
              <w:t>的处理工艺。具体工艺流程为：</w:t>
            </w:r>
          </w:p>
          <w:p>
            <w:pPr>
              <w:spacing w:line="500" w:lineRule="exact"/>
              <w:ind w:firstLine="480" w:firstLineChars="200"/>
              <w:rPr>
                <w:szCs w:val="21"/>
              </w:rPr>
            </w:pPr>
            <w:r>
              <w:rPr>
                <w:sz w:val="24"/>
              </w:rPr>
              <w:t>废水首先经过格栅的拦截及旋流沉砂池的沉淀作用后，进入水解酸化池，将原有废水中的非溶解性有机物转变为溶解性有机物，提高废水的可生化性。随后连续进入厌氧—缺氧—好氧反应器，原污水及从沉淀池排出的含磷回流污泥同步进入该反应器，其主要功能是释放磷，同时对部分有机物进行氨化，缺氧反应器的首要功能是脱氮，硝态氮是通过内循环由好氧反应器送来，然后进入好氧反应器—曝气池：混合液由缺氧反应器进入该反应器，其功能是去除BOD、硝化和吸收磷，混合液中含有NO</w:t>
            </w:r>
            <w:r>
              <w:rPr>
                <w:sz w:val="24"/>
                <w:vertAlign w:val="subscript"/>
              </w:rPr>
              <w:t>3</w:t>
            </w:r>
            <w:r>
              <w:rPr>
                <w:sz w:val="24"/>
              </w:rPr>
              <w:t>-N，污泥中含有过剩的磷，而污水中的BOD</w:t>
            </w:r>
            <w:r>
              <w:rPr>
                <w:rFonts w:hint="eastAsia"/>
                <w:color w:val="0000FF"/>
                <w:sz w:val="24"/>
                <w:lang w:eastAsia="zh-CN"/>
              </w:rPr>
              <w:t>（</w:t>
            </w:r>
            <w:r>
              <w:rPr>
                <w:sz w:val="24"/>
              </w:rPr>
              <w:t>或COD</w:t>
            </w:r>
            <w:r>
              <w:rPr>
                <w:rFonts w:hint="eastAsia"/>
                <w:color w:val="0000FF"/>
                <w:sz w:val="24"/>
                <w:lang w:eastAsia="zh-CN"/>
              </w:rPr>
              <w:t>）</w:t>
            </w:r>
            <w:r>
              <w:rPr>
                <w:sz w:val="24"/>
              </w:rPr>
              <w:t>则得到去除，混合液从这里回流到缺氧反应器。最后废水通过二沉池后进行紫外线消毒以确保水质达标排放。</w:t>
            </w:r>
          </w:p>
          <w:p>
            <w:pPr>
              <w:adjustRightInd w:val="0"/>
              <w:snapToGrid w:val="0"/>
              <w:ind w:firstLine="420" w:firstLineChars="200"/>
              <w:rPr>
                <w:bCs/>
                <w:sz w:val="24"/>
              </w:rPr>
            </w:pPr>
            <w:r>
              <w:rPr>
                <w:bCs/>
              </w:rPr>
              <w:object>
                <v:shape id="_x0000_i1025" o:spt="75" type="#_x0000_t75" style="height:234pt;width:423pt;" o:ole="t" filled="f" o:preferrelative="f" stroked="f" coordsize="21600,21600">
                  <v:path/>
                  <v:fill on="f" focussize="0,0"/>
                  <v:stroke on="f" joinstyle="miter"/>
                  <v:imagedata r:id="rId15" o:title=""/>
                  <o:lock v:ext="edit" aspectratio="t"/>
                  <w10:wrap type="none"/>
                  <w10:anchorlock/>
                </v:shape>
                <o:OLEObject Type="Embed" ProgID="Visio.Drawing.15" ShapeID="_x0000_i1025" DrawAspect="Content" ObjectID="_1468075725" r:id="rId14">
                  <o:LockedField>false</o:LockedField>
                </o:OLEObject>
              </w:objec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jc w:val="center"/>
              <w:textAlignment w:val="auto"/>
              <w:rPr>
                <w:b/>
                <w:bCs/>
                <w:szCs w:val="21"/>
              </w:rPr>
            </w:pPr>
            <w:r>
              <w:rPr>
                <w:b/>
                <w:bCs/>
                <w:szCs w:val="21"/>
              </w:rPr>
              <w:t>图</w:t>
            </w:r>
            <w:r>
              <w:rPr>
                <w:b/>
                <w:bCs/>
                <w:color w:val="0000FF"/>
                <w:szCs w:val="21"/>
              </w:rPr>
              <w:t>4-</w:t>
            </w:r>
            <w:r>
              <w:rPr>
                <w:rFonts w:hint="eastAsia"/>
                <w:b/>
                <w:bCs/>
                <w:color w:val="0000FF"/>
                <w:szCs w:val="21"/>
                <w:lang w:val="en-US" w:eastAsia="zh-CN"/>
              </w:rPr>
              <w:t>1</w:t>
            </w:r>
            <w:r>
              <w:rPr>
                <w:b/>
                <w:bCs/>
                <w:szCs w:val="21"/>
              </w:rPr>
              <w:t>江苏港城污水处理有限公司</w:t>
            </w:r>
            <w:r>
              <w:rPr>
                <w:rFonts w:hint="eastAsia"/>
                <w:b/>
                <w:bCs/>
                <w:szCs w:val="21"/>
              </w:rPr>
              <w:t>一期</w:t>
            </w:r>
            <w:r>
              <w:rPr>
                <w:b/>
                <w:bCs/>
                <w:szCs w:val="21"/>
              </w:rPr>
              <w:t>污水处理工艺流程</w:t>
            </w:r>
          </w:p>
          <w:p>
            <w:pPr>
              <w:adjustRightInd w:val="0"/>
              <w:snapToGrid w:val="0"/>
              <w:spacing w:line="360" w:lineRule="auto"/>
              <w:jc w:val="center"/>
              <w:rPr>
                <w:bCs/>
              </w:rPr>
            </w:pPr>
            <w:r>
              <w:rPr>
                <w:bCs/>
              </w:rPr>
              <w:object>
                <v:shape id="_x0000_i1026" o:spt="75" type="#_x0000_t75" style="height:220.5pt;width:400.5pt;" o:ole="t" filled="f" o:preferrelative="t" stroked="f" coordsize="21600,21600">
                  <v:path/>
                  <v:fill on="f" focussize="0,0"/>
                  <v:stroke on="f" joinstyle="miter"/>
                  <v:imagedata r:id="rId17" o:title=""/>
                  <o:lock v:ext="edit" aspectratio="f"/>
                  <w10:wrap type="none"/>
                  <w10:anchorlock/>
                </v:shape>
                <o:OLEObject Type="Embed" ProgID="Visio.Drawing.15" ShapeID="_x0000_i1026" DrawAspect="Content" ObjectID="_1468075726" r:id="rId16">
                  <o:LockedField>false</o:LockedField>
                </o:OLEObject>
              </w:objec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jc w:val="center"/>
              <w:textAlignment w:val="auto"/>
              <w:rPr>
                <w:b/>
                <w:bCs/>
                <w:szCs w:val="21"/>
              </w:rPr>
            </w:pPr>
            <w:r>
              <w:rPr>
                <w:b/>
                <w:bCs/>
                <w:szCs w:val="21"/>
              </w:rPr>
              <w:t>图</w:t>
            </w:r>
            <w:r>
              <w:rPr>
                <w:rFonts w:hint="eastAsia"/>
                <w:b/>
                <w:bCs/>
                <w:color w:val="0000FF"/>
                <w:szCs w:val="21"/>
                <w:lang w:val="en-US" w:eastAsia="zh-CN"/>
              </w:rPr>
              <w:t>4-2</w:t>
            </w:r>
            <w:r>
              <w:rPr>
                <w:b/>
                <w:bCs/>
                <w:szCs w:val="21"/>
              </w:rPr>
              <w:t>江苏港城污水处理有限公司</w:t>
            </w:r>
            <w:r>
              <w:rPr>
                <w:rFonts w:hint="eastAsia"/>
                <w:b/>
                <w:bCs/>
                <w:szCs w:val="21"/>
              </w:rPr>
              <w:t>二期</w:t>
            </w:r>
            <w:r>
              <w:rPr>
                <w:b/>
                <w:bCs/>
                <w:szCs w:val="21"/>
              </w:rPr>
              <w:t>污水处理工艺流程</w:t>
            </w:r>
          </w:p>
          <w:p>
            <w:pPr>
              <w:adjustRightInd w:val="0"/>
              <w:snapToGrid w:val="0"/>
              <w:spacing w:line="500" w:lineRule="exact"/>
              <w:ind w:firstLine="480" w:firstLineChars="200"/>
              <w:rPr>
                <w:sz w:val="24"/>
              </w:rPr>
            </w:pPr>
            <w:r>
              <w:rPr>
                <w:sz w:val="24"/>
              </w:rPr>
              <w:t>（2）接管条件分析</w:t>
            </w:r>
          </w:p>
          <w:p>
            <w:pPr>
              <w:adjustRightInd w:val="0"/>
              <w:snapToGrid w:val="0"/>
              <w:spacing w:line="500" w:lineRule="exact"/>
              <w:ind w:firstLine="480" w:firstLineChars="200"/>
              <w:rPr>
                <w:sz w:val="24"/>
              </w:rPr>
            </w:pPr>
            <w:r>
              <w:rPr>
                <w:sz w:val="24"/>
              </w:rPr>
              <w:t>①接管范围可行性</w:t>
            </w:r>
          </w:p>
          <w:p>
            <w:pPr>
              <w:adjustRightInd w:val="0"/>
              <w:snapToGrid w:val="0"/>
              <w:spacing w:line="500" w:lineRule="exact"/>
              <w:ind w:firstLine="480" w:firstLineChars="200"/>
              <w:rPr>
                <w:sz w:val="24"/>
              </w:rPr>
            </w:pPr>
            <w:r>
              <w:rPr>
                <w:sz w:val="24"/>
              </w:rPr>
              <w:t>本项目位于泰州市医药高新区（高港区）郁金香墙纸公司东侧，永盛路北侧、创新大道南侧、展帆路西侧，属于江苏港城污水处理有限公司的服务范围内，目前本项目所在地周边雨污水管网已铺设完成。因此，本项目废水可由现有污水管网接入江苏港城污水处理有限公司。</w:t>
            </w:r>
          </w:p>
          <w:p>
            <w:pPr>
              <w:adjustRightInd w:val="0"/>
              <w:snapToGrid w:val="0"/>
              <w:spacing w:line="500" w:lineRule="exact"/>
              <w:ind w:firstLine="480" w:firstLineChars="200"/>
              <w:rPr>
                <w:sz w:val="24"/>
              </w:rPr>
            </w:pPr>
            <w:r>
              <w:rPr>
                <w:sz w:val="24"/>
              </w:rPr>
              <w:t>②水质接管可行性分析</w:t>
            </w:r>
          </w:p>
          <w:p>
            <w:pPr>
              <w:adjustRightInd w:val="0"/>
              <w:snapToGrid w:val="0"/>
              <w:spacing w:line="500" w:lineRule="exact"/>
              <w:ind w:firstLine="480" w:firstLineChars="200"/>
              <w:rPr>
                <w:sz w:val="24"/>
              </w:rPr>
            </w:pPr>
            <w:r>
              <w:rPr>
                <w:sz w:val="24"/>
              </w:rPr>
              <w:t>本项目建成后，废水主要为生活污水，废水中主要污染物为pH、COD、SS、氨氮、总氮、总磷。生活污水经化粪池处理，后排入污水管网。因而，从水质角度分析，本项目接管是可行的。</w:t>
            </w:r>
          </w:p>
          <w:p>
            <w:pPr>
              <w:adjustRightInd w:val="0"/>
              <w:snapToGrid w:val="0"/>
              <w:spacing w:line="500" w:lineRule="exact"/>
              <w:ind w:firstLine="480" w:firstLineChars="200"/>
              <w:rPr>
                <w:sz w:val="24"/>
              </w:rPr>
            </w:pPr>
            <w:r>
              <w:rPr>
                <w:sz w:val="24"/>
              </w:rPr>
              <w:t>③水量接管可行性分析</w:t>
            </w:r>
          </w:p>
          <w:p>
            <w:pPr>
              <w:adjustRightInd w:val="0"/>
              <w:snapToGrid w:val="0"/>
              <w:spacing w:line="500" w:lineRule="exact"/>
              <w:ind w:firstLine="480" w:firstLineChars="200"/>
              <w:rPr>
                <w:sz w:val="24"/>
              </w:rPr>
            </w:pPr>
            <w:r>
              <w:rPr>
                <w:sz w:val="24"/>
              </w:rPr>
              <w:t>本项目废水产生量300t/a，生活污水经园区化粪池收集后接管市政污水管网，可以满足本项目预处理需求。</w:t>
            </w:r>
          </w:p>
          <w:p>
            <w:pPr>
              <w:adjustRightInd w:val="0"/>
              <w:snapToGrid w:val="0"/>
              <w:spacing w:line="500" w:lineRule="exact"/>
              <w:ind w:firstLine="480" w:firstLineChars="200"/>
              <w:rPr>
                <w:sz w:val="24"/>
              </w:rPr>
            </w:pPr>
            <w:r>
              <w:rPr>
                <w:sz w:val="24"/>
              </w:rPr>
              <w:t>江苏港城污水处理有限公司已建成规模为4.0万m</w:t>
            </w:r>
            <w:r>
              <w:rPr>
                <w:sz w:val="24"/>
                <w:vertAlign w:val="superscript"/>
              </w:rPr>
              <w:t>3</w:t>
            </w:r>
            <w:r>
              <w:rPr>
                <w:sz w:val="24"/>
              </w:rPr>
              <w:t>/d，已经接纳污水量为3</w:t>
            </w:r>
            <w:r>
              <w:rPr>
                <w:rFonts w:hint="eastAsia"/>
                <w:sz w:val="24"/>
              </w:rPr>
              <w:t>8</w:t>
            </w:r>
            <w:r>
              <w:rPr>
                <w:sz w:val="24"/>
              </w:rPr>
              <w:t>000m</w:t>
            </w:r>
            <w:r>
              <w:rPr>
                <w:sz w:val="24"/>
                <w:vertAlign w:val="superscript"/>
              </w:rPr>
              <w:t>3</w:t>
            </w:r>
            <w:r>
              <w:rPr>
                <w:sz w:val="24"/>
              </w:rPr>
              <w:t>/d，剩余污水处理能力为</w:t>
            </w:r>
            <w:r>
              <w:rPr>
                <w:rFonts w:hint="eastAsia"/>
                <w:sz w:val="24"/>
              </w:rPr>
              <w:t>2</w:t>
            </w:r>
            <w:r>
              <w:rPr>
                <w:sz w:val="24"/>
              </w:rPr>
              <w:t>000m</w:t>
            </w:r>
            <w:r>
              <w:rPr>
                <w:sz w:val="24"/>
                <w:vertAlign w:val="superscript"/>
              </w:rPr>
              <w:t>3</w:t>
            </w:r>
            <w:r>
              <w:rPr>
                <w:sz w:val="24"/>
              </w:rPr>
              <w:t>/d，本项目废水排放量约1t/d，项目对于江苏港城污水处理有限公司处理余量占用比例较小，污水处理厂尾水排入盘头中沟。结合污水处理厂处理的废水总量以及规划的处理规模，污水处理厂的处理规模能够满足企业的发展需要。</w:t>
            </w:r>
          </w:p>
          <w:p>
            <w:pPr>
              <w:adjustRightInd w:val="0"/>
              <w:snapToGrid w:val="0"/>
              <w:spacing w:line="500" w:lineRule="exact"/>
              <w:ind w:firstLine="480" w:firstLineChars="200"/>
              <w:rPr>
                <w:sz w:val="24"/>
              </w:rPr>
            </w:pPr>
            <w:r>
              <w:rPr>
                <w:sz w:val="24"/>
              </w:rPr>
              <w:t>项目废水经预处理后，污染物浓度较低，不会对污水处理厂产生冲击负荷，通过污水处理厂深度处理后达标排放，对地表水环境及周边影响较小。综上所述，从接管水质、水量、污水厂处理工艺及管网设置等角度分析，本项目能够实现污水达标接管。</w:t>
            </w:r>
          </w:p>
          <w:p>
            <w:pPr>
              <w:adjustRightInd w:val="0"/>
              <w:snapToGrid w:val="0"/>
              <w:spacing w:line="500" w:lineRule="exact"/>
              <w:ind w:firstLine="482" w:firstLineChars="200"/>
              <w:rPr>
                <w:b/>
                <w:sz w:val="24"/>
              </w:rPr>
            </w:pPr>
            <w:r>
              <w:rPr>
                <w:b/>
                <w:sz w:val="24"/>
              </w:rPr>
              <w:t>3、噪声环境影响及防治措施分析</w:t>
            </w:r>
          </w:p>
          <w:p>
            <w:pPr>
              <w:pStyle w:val="16"/>
              <w:widowControl w:val="0"/>
              <w:adjustRightInd w:val="0"/>
              <w:spacing w:before="0" w:after="0" w:line="500" w:lineRule="exact"/>
              <w:ind w:right="0" w:firstLine="480" w:firstLineChars="200"/>
              <w:rPr>
                <w:bCs/>
                <w:sz w:val="24"/>
                <w:szCs w:val="24"/>
              </w:rPr>
            </w:pPr>
            <w:r>
              <w:rPr>
                <w:bCs/>
                <w:sz w:val="24"/>
                <w:szCs w:val="24"/>
              </w:rPr>
              <w:t>（1）噪声源强及污染防治措施</w:t>
            </w:r>
          </w:p>
          <w:p>
            <w:pPr>
              <w:adjustRightInd w:val="0"/>
              <w:snapToGrid w:val="0"/>
              <w:spacing w:line="500" w:lineRule="exact"/>
              <w:ind w:firstLine="480" w:firstLineChars="200"/>
              <w:rPr>
                <w:sz w:val="24"/>
              </w:rPr>
            </w:pPr>
            <w:r>
              <w:rPr>
                <w:sz w:val="24"/>
              </w:rPr>
              <w:t>①噪声源强分析</w:t>
            </w:r>
          </w:p>
          <w:p>
            <w:pPr>
              <w:pStyle w:val="60"/>
              <w:adjustRightInd w:val="0"/>
              <w:snapToGrid w:val="0"/>
              <w:spacing w:line="500" w:lineRule="exact"/>
              <w:ind w:firstLine="480" w:firstLineChars="200"/>
              <w:rPr>
                <w:rFonts w:ascii="Times New Roman" w:hAnsi="Times New Roman" w:cs="Times New Roman"/>
                <w:b/>
                <w:sz w:val="24"/>
              </w:rPr>
            </w:pPr>
            <w:r>
              <w:rPr>
                <w:rFonts w:ascii="Times New Roman" w:hAnsi="Times New Roman" w:cs="Times New Roman"/>
                <w:sz w:val="24"/>
              </w:rPr>
              <w:t>运营期噪声主要来自各生产及公辅设备的工作噪声，其噪声源强在</w:t>
            </w:r>
            <w:r>
              <w:rPr>
                <w:rFonts w:ascii="Times New Roman" w:hAnsi="Times New Roman" w:cs="Times New Roman"/>
                <w:sz w:val="24"/>
                <w:lang w:val="en-US"/>
              </w:rPr>
              <w:t>80</w:t>
            </w:r>
            <w:r>
              <w:rPr>
                <w:rFonts w:ascii="Times New Roman" w:hAnsi="Times New Roman" w:cs="Times New Roman"/>
                <w:sz w:val="24"/>
              </w:rPr>
              <w:t>~</w:t>
            </w:r>
            <w:r>
              <w:rPr>
                <w:rFonts w:ascii="Times New Roman" w:hAnsi="Times New Roman" w:cs="Times New Roman"/>
                <w:sz w:val="24"/>
                <w:lang w:val="en-US"/>
              </w:rPr>
              <w:t>95</w:t>
            </w:r>
            <w:r>
              <w:rPr>
                <w:rFonts w:ascii="Times New Roman" w:hAnsi="Times New Roman" w:cs="Times New Roman"/>
                <w:sz w:val="24"/>
              </w:rPr>
              <w:t>dB(A)，主要噪声源见下表。</w:t>
            </w:r>
          </w:p>
          <w:p>
            <w:pPr>
              <w:pStyle w:val="32"/>
              <w:keepNext w:val="0"/>
              <w:keepLines w:val="0"/>
              <w:pageBreakBefore w:val="0"/>
              <w:widowControl w:val="0"/>
              <w:kinsoku/>
              <w:wordWrap/>
              <w:overflowPunct/>
              <w:topLinePunct w:val="0"/>
              <w:autoSpaceDE/>
              <w:autoSpaceDN/>
              <w:bidi w:val="0"/>
              <w:adjustRightInd w:val="0"/>
              <w:snapToGrid w:val="0"/>
              <w:spacing w:before="120" w:beforeLines="50" w:after="157" w:afterLines="50"/>
              <w:ind w:left="0" w:leftChars="0" w:firstLine="0" w:firstLineChars="0"/>
              <w:jc w:val="center"/>
              <w:textAlignment w:val="auto"/>
              <w:rPr>
                <w:b/>
                <w:bCs/>
                <w:sz w:val="21"/>
                <w:szCs w:val="21"/>
              </w:rPr>
            </w:pPr>
            <w:r>
              <w:rPr>
                <w:b/>
                <w:bCs/>
                <w:sz w:val="21"/>
                <w:szCs w:val="21"/>
              </w:rPr>
              <w:t>表4-</w:t>
            </w:r>
            <w:r>
              <w:rPr>
                <w:rFonts w:hint="eastAsia"/>
                <w:b/>
                <w:bCs/>
                <w:sz w:val="21"/>
                <w:szCs w:val="21"/>
              </w:rPr>
              <w:t>11</w:t>
            </w:r>
            <w:r>
              <w:rPr>
                <w:b/>
                <w:bCs/>
                <w:sz w:val="21"/>
                <w:szCs w:val="21"/>
              </w:rPr>
              <w:t>项目主要噪声源及源强一览表</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8"/>
              <w:gridCol w:w="562"/>
              <w:gridCol w:w="1016"/>
              <w:gridCol w:w="378"/>
              <w:gridCol w:w="995"/>
              <w:gridCol w:w="615"/>
              <w:gridCol w:w="418"/>
              <w:gridCol w:w="418"/>
              <w:gridCol w:w="308"/>
              <w:gridCol w:w="578"/>
              <w:gridCol w:w="560"/>
              <w:gridCol w:w="916"/>
              <w:gridCol w:w="469"/>
              <w:gridCol w:w="506"/>
              <w:gridCol w:w="4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序号</w:t>
                  </w:r>
                </w:p>
              </w:tc>
              <w:tc>
                <w:tcPr>
                  <w:tcW w:w="687"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建筑物名称</w:t>
                  </w:r>
                </w:p>
              </w:tc>
              <w:tc>
                <w:tcPr>
                  <w:tcW w:w="1268"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声源名称</w:t>
                  </w:r>
                </w:p>
              </w:tc>
              <w:tc>
                <w:tcPr>
                  <w:tcW w:w="450"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型号</w:t>
                  </w:r>
                </w:p>
              </w:tc>
              <w:tc>
                <w:tcPr>
                  <w:tcW w:w="124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声源源强</w:t>
                  </w:r>
                </w:p>
              </w:tc>
              <w:tc>
                <w:tcPr>
                  <w:tcW w:w="752"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声源控制措施</w:t>
                  </w:r>
                </w:p>
              </w:tc>
              <w:tc>
                <w:tcPr>
                  <w:tcW w:w="1363" w:type="dxa"/>
                  <w:gridSpan w:val="3"/>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rPr>
                  </w:pPr>
                  <w:r>
                    <w:rPr>
                      <w:rFonts w:hint="default" w:ascii="Times New Roman" w:hAnsi="Times New Roman" w:eastAsia="宋体" w:cs="Times New Roman"/>
                      <w:b/>
                      <w:bCs/>
                      <w:snapToGrid w:val="0"/>
                      <w:sz w:val="21"/>
                      <w:szCs w:val="21"/>
                      <w:vertAlign w:val="baseline"/>
                      <w:lang w:val="en-US" w:eastAsia="zh-CN"/>
                    </w:rPr>
                    <w:t>空间相对位置</w:t>
                  </w:r>
                </w:p>
              </w:tc>
              <w:tc>
                <w:tcPr>
                  <w:tcW w:w="706"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距室内边界距离</w:t>
                  </w:r>
                </w:p>
              </w:tc>
              <w:tc>
                <w:tcPr>
                  <w:tcW w:w="683"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室内边界声级</w:t>
                  </w:r>
                </w:p>
              </w:tc>
              <w:tc>
                <w:tcPr>
                  <w:tcW w:w="1138"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运行时段</w:t>
                  </w:r>
                </w:p>
              </w:tc>
              <w:tc>
                <w:tcPr>
                  <w:tcW w:w="566"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建筑物插入损失</w:t>
                  </w:r>
                </w:p>
              </w:tc>
              <w:tc>
                <w:tcPr>
                  <w:tcW w:w="1157" w:type="dxa"/>
                  <w:gridSpan w:val="2"/>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建筑物外噪声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rPr>
                  </w:pPr>
                </w:p>
              </w:tc>
              <w:tc>
                <w:tcPr>
                  <w:tcW w:w="687"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rPr>
                  </w:pPr>
                </w:p>
              </w:tc>
              <w:tc>
                <w:tcPr>
                  <w:tcW w:w="1268"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rPr>
                  </w:pPr>
                </w:p>
              </w:tc>
              <w:tc>
                <w:tcPr>
                  <w:tcW w:w="450"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rPr>
                  </w:pPr>
                </w:p>
              </w:tc>
              <w:tc>
                <w:tcPr>
                  <w:tcW w:w="124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eastAsia="zh-CN"/>
                    </w:rPr>
                  </w:pPr>
                  <w:r>
                    <w:rPr>
                      <w:rFonts w:hint="default" w:ascii="Times New Roman" w:hAnsi="Times New Roman" w:eastAsia="宋体" w:cs="Times New Roman"/>
                      <w:b/>
                      <w:bCs/>
                      <w:snapToGrid w:val="0"/>
                      <w:sz w:val="21"/>
                      <w:szCs w:val="21"/>
                      <w:vertAlign w:val="baseline"/>
                      <w:lang w:eastAsia="zh-CN"/>
                    </w:rPr>
                    <w:t>（</w:t>
                  </w:r>
                  <w:r>
                    <w:rPr>
                      <w:rFonts w:hint="default" w:ascii="Times New Roman" w:hAnsi="Times New Roman" w:eastAsia="宋体" w:cs="Times New Roman"/>
                      <w:b/>
                      <w:bCs/>
                      <w:snapToGrid w:val="0"/>
                      <w:sz w:val="21"/>
                      <w:szCs w:val="21"/>
                      <w:vertAlign w:val="baseline"/>
                      <w:lang w:val="en-US" w:eastAsia="zh-CN"/>
                    </w:rPr>
                    <w:t>声压级/距离声源距离</w:t>
                  </w:r>
                  <w:r>
                    <w:rPr>
                      <w:rFonts w:hint="default" w:ascii="Times New Roman" w:hAnsi="Times New Roman" w:eastAsia="宋体" w:cs="Times New Roman"/>
                      <w:b/>
                      <w:bCs/>
                      <w:snapToGrid w:val="0"/>
                      <w:sz w:val="21"/>
                      <w:szCs w:val="21"/>
                      <w:vertAlign w:val="baseline"/>
                      <w:lang w:eastAsia="zh-CN"/>
                    </w:rPr>
                    <w:t>）</w:t>
                  </w:r>
                </w:p>
              </w:tc>
              <w:tc>
                <w:tcPr>
                  <w:tcW w:w="75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rPr>
                  </w:pP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X</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Y</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Z</w:t>
                  </w:r>
                </w:p>
              </w:tc>
              <w:tc>
                <w:tcPr>
                  <w:tcW w:w="706"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rPr>
                  </w:pPr>
                </w:p>
              </w:tc>
              <w:tc>
                <w:tcPr>
                  <w:tcW w:w="683"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rPr>
                  </w:pPr>
                </w:p>
              </w:tc>
              <w:tc>
                <w:tcPr>
                  <w:tcW w:w="1138"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rPr>
                  </w:pPr>
                </w:p>
              </w:tc>
              <w:tc>
                <w:tcPr>
                  <w:tcW w:w="566"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rPr>
                  </w:pP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声压级</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bCs/>
                      <w:snapToGrid w:val="0"/>
                      <w:sz w:val="21"/>
                      <w:szCs w:val="21"/>
                      <w:vertAlign w:val="baseline"/>
                      <w:lang w:val="en-US" w:eastAsia="zh-CN"/>
                    </w:rPr>
                  </w:pPr>
                  <w:r>
                    <w:rPr>
                      <w:rFonts w:hint="default" w:ascii="Times New Roman" w:hAnsi="Times New Roman" w:eastAsia="宋体" w:cs="Times New Roman"/>
                      <w:b/>
                      <w:bCs/>
                      <w:snapToGrid w:val="0"/>
                      <w:sz w:val="21"/>
                      <w:szCs w:val="21"/>
                      <w:vertAlign w:val="baseline"/>
                      <w:lang w:val="en-US" w:eastAsia="zh-CN"/>
                    </w:rPr>
                    <w:t>建筑物外距离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rPr>
                    <w:t>1</w:t>
                  </w:r>
                </w:p>
              </w:tc>
              <w:tc>
                <w:tcPr>
                  <w:tcW w:w="687"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default" w:ascii="Times New Roman" w:hAnsi="Times New Roman" w:eastAsia="宋体" w:cs="Times New Roman"/>
                      <w:b w:val="0"/>
                      <w:bCs w:val="0"/>
                      <w:snapToGrid w:val="0"/>
                      <w:sz w:val="21"/>
                      <w:szCs w:val="21"/>
                      <w:vertAlign w:val="baseline"/>
                      <w:lang w:val="en-US" w:eastAsia="zh-CN"/>
                    </w:rPr>
                    <w:t>厂房三</w:t>
                  </w:r>
                </w:p>
              </w:tc>
              <w:tc>
                <w:tcPr>
                  <w:tcW w:w="1268"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lang w:bidi="ar"/>
                    </w:rPr>
                    <w:t>压铸机</w:t>
                  </w:r>
                </w:p>
              </w:tc>
              <w:tc>
                <w:tcPr>
                  <w:tcW w:w="450"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default" w:ascii="Times New Roman" w:hAnsi="Times New Roman" w:eastAsia="宋体" w:cs="Times New Roman"/>
                      <w:b w:val="0"/>
                      <w:bCs w:val="0"/>
                      <w:snapToGrid w:val="0"/>
                      <w:sz w:val="21"/>
                      <w:szCs w:val="21"/>
                      <w:vertAlign w:val="baseline"/>
                      <w:lang w:val="en-US" w:eastAsia="zh-CN"/>
                    </w:rPr>
                    <w:t>/</w:t>
                  </w:r>
                </w:p>
              </w:tc>
              <w:tc>
                <w:tcPr>
                  <w:tcW w:w="1241"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vertAlign w:val="baseline"/>
                    </w:rPr>
                  </w:pPr>
                  <w:r>
                    <w:rPr>
                      <w:snapToGrid w:val="0"/>
                      <w:kern w:val="0"/>
                      <w:szCs w:val="21"/>
                      <w:lang w:bidi="ar"/>
                    </w:rPr>
                    <w:t>9</w:t>
                  </w:r>
                  <w:r>
                    <w:rPr>
                      <w:rFonts w:hint="eastAsia"/>
                      <w:snapToGrid w:val="0"/>
                      <w:kern w:val="0"/>
                      <w:szCs w:val="21"/>
                      <w:lang w:bidi="ar"/>
                    </w:rPr>
                    <w:t>5</w:t>
                  </w:r>
                </w:p>
              </w:tc>
              <w:tc>
                <w:tcPr>
                  <w:tcW w:w="752"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default" w:ascii="Times New Roman" w:hAnsi="Times New Roman" w:eastAsia="宋体" w:cs="Times New Roman"/>
                      <w:b w:val="0"/>
                      <w:bCs w:val="0"/>
                      <w:snapToGrid w:val="0"/>
                      <w:sz w:val="21"/>
                      <w:szCs w:val="21"/>
                      <w:vertAlign w:val="baseline"/>
                    </w:rPr>
                    <w:t>选用低噪音设备；利用建筑物隔声屏蔽；加强操作管理和维护；合理布局等</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10</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4</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706" w:type="dxa"/>
                  <w:tcBorders>
                    <w:tl2br w:val="nil"/>
                    <w:tr2bl w:val="nil"/>
                  </w:tcBorders>
                  <w:vAlign w:val="center"/>
                </w:tcPr>
                <w:p>
                  <w:pPr>
                    <w:pStyle w:val="31"/>
                    <w:adjustRightInd w:val="0"/>
                    <w:spacing w:before="0" w:after="0" w:line="240" w:lineRule="auto"/>
                    <w:ind w:right="0" w:rightChars="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2</w:t>
                  </w:r>
                </w:p>
              </w:tc>
              <w:tc>
                <w:tcPr>
                  <w:tcW w:w="68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89.4</w:t>
                  </w:r>
                </w:p>
              </w:tc>
              <w:tc>
                <w:tcPr>
                  <w:tcW w:w="622"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8:00-17:00</w:t>
                  </w:r>
                </w:p>
              </w:tc>
              <w:tc>
                <w:tcPr>
                  <w:tcW w:w="56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25</w:t>
                  </w: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62.1</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rPr>
                    <w:t>2</w:t>
                  </w:r>
                </w:p>
              </w:tc>
              <w:tc>
                <w:tcPr>
                  <w:tcW w:w="687"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default" w:ascii="Times New Roman" w:hAnsi="Times New Roman" w:eastAsia="宋体" w:cs="Times New Roman"/>
                      <w:b w:val="0"/>
                      <w:bCs w:val="0"/>
                      <w:snapToGrid w:val="0"/>
                      <w:sz w:val="21"/>
                      <w:szCs w:val="21"/>
                      <w:vertAlign w:val="baseline"/>
                      <w:lang w:val="en-US" w:eastAsia="zh-CN"/>
                    </w:rPr>
                    <w:t>厂房二</w:t>
                  </w:r>
                </w:p>
              </w:tc>
              <w:tc>
                <w:tcPr>
                  <w:tcW w:w="1268"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lang w:val="en-US" w:eastAsia="zh-CN" w:bidi="ar-SA"/>
                    </w:rPr>
                  </w:pPr>
                  <w:r>
                    <w:rPr>
                      <w:rFonts w:hint="eastAsia" w:ascii="Times New Roman" w:hAnsi="Times New Roman" w:eastAsia="宋体" w:cs="Times New Roman"/>
                      <w:b w:val="0"/>
                      <w:bCs w:val="0"/>
                      <w:snapToGrid w:val="0"/>
                      <w:kern w:val="0"/>
                      <w:szCs w:val="21"/>
                      <w:lang w:val="en-US" w:eastAsia="zh-CN" w:bidi="ar"/>
                    </w:rPr>
                    <w:t>喷塑线</w:t>
                  </w:r>
                </w:p>
              </w:tc>
              <w:tc>
                <w:tcPr>
                  <w:tcW w:w="450"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default" w:ascii="Times New Roman" w:hAnsi="Times New Roman" w:eastAsia="宋体" w:cs="Times New Roman"/>
                      <w:b w:val="0"/>
                      <w:bCs w:val="0"/>
                      <w:snapToGrid w:val="0"/>
                      <w:sz w:val="21"/>
                      <w:szCs w:val="21"/>
                      <w:vertAlign w:val="baseline"/>
                      <w:lang w:val="en-US" w:eastAsia="zh-CN"/>
                    </w:rPr>
                    <w:t>/</w:t>
                  </w:r>
                </w:p>
              </w:tc>
              <w:tc>
                <w:tcPr>
                  <w:tcW w:w="1241"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vertAlign w:val="baseline"/>
                    </w:rPr>
                  </w:pPr>
                  <w:r>
                    <w:rPr>
                      <w:snapToGrid w:val="0"/>
                      <w:kern w:val="0"/>
                      <w:szCs w:val="21"/>
                      <w:lang w:bidi="ar"/>
                    </w:rPr>
                    <w:t>88</w:t>
                  </w:r>
                </w:p>
              </w:tc>
              <w:tc>
                <w:tcPr>
                  <w:tcW w:w="75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-11</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-13</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706" w:type="dxa"/>
                  <w:tcBorders>
                    <w:tl2br w:val="nil"/>
                    <w:tr2bl w:val="nil"/>
                  </w:tcBorders>
                  <w:vAlign w:val="center"/>
                </w:tcPr>
                <w:p>
                  <w:pPr>
                    <w:pStyle w:val="31"/>
                    <w:adjustRightInd w:val="0"/>
                    <w:spacing w:before="0" w:after="0" w:line="240" w:lineRule="auto"/>
                    <w:ind w:right="0" w:rightChars="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1</w:t>
                  </w:r>
                </w:p>
              </w:tc>
              <w:tc>
                <w:tcPr>
                  <w:tcW w:w="683"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69.5</w:t>
                  </w:r>
                </w:p>
              </w:tc>
              <w:tc>
                <w:tcPr>
                  <w:tcW w:w="62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6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25</w:t>
                  </w: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40.6</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rPr>
                    <w:t>3</w:t>
                  </w:r>
                </w:p>
              </w:tc>
              <w:tc>
                <w:tcPr>
                  <w:tcW w:w="687"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1268"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lang w:bidi="ar"/>
                    </w:rPr>
                    <w:t>空压机</w:t>
                  </w:r>
                </w:p>
              </w:tc>
              <w:tc>
                <w:tcPr>
                  <w:tcW w:w="450"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default" w:ascii="Times New Roman" w:hAnsi="Times New Roman" w:eastAsia="宋体" w:cs="Times New Roman"/>
                      <w:b w:val="0"/>
                      <w:bCs w:val="0"/>
                      <w:snapToGrid w:val="0"/>
                      <w:sz w:val="21"/>
                      <w:szCs w:val="21"/>
                      <w:vertAlign w:val="baseline"/>
                      <w:lang w:val="en-US" w:eastAsia="zh-CN"/>
                    </w:rPr>
                    <w:t>/</w:t>
                  </w:r>
                </w:p>
              </w:tc>
              <w:tc>
                <w:tcPr>
                  <w:tcW w:w="1241"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vertAlign w:val="baseline"/>
                    </w:rPr>
                  </w:pPr>
                  <w:r>
                    <w:rPr>
                      <w:snapToGrid w:val="0"/>
                      <w:kern w:val="0"/>
                      <w:szCs w:val="21"/>
                      <w:lang w:bidi="ar"/>
                    </w:rPr>
                    <w:t>80</w:t>
                  </w:r>
                </w:p>
              </w:tc>
              <w:tc>
                <w:tcPr>
                  <w:tcW w:w="75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9</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706" w:type="dxa"/>
                  <w:tcBorders>
                    <w:tl2br w:val="nil"/>
                    <w:tr2bl w:val="nil"/>
                  </w:tcBorders>
                  <w:vAlign w:val="center"/>
                </w:tcPr>
                <w:p>
                  <w:pPr>
                    <w:pStyle w:val="31"/>
                    <w:adjustRightInd w:val="0"/>
                    <w:spacing w:before="0" w:after="0" w:line="240" w:lineRule="auto"/>
                    <w:ind w:right="0" w:rightChars="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1</w:t>
                  </w:r>
                </w:p>
              </w:tc>
              <w:tc>
                <w:tcPr>
                  <w:tcW w:w="683"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66.2</w:t>
                  </w:r>
                </w:p>
              </w:tc>
              <w:tc>
                <w:tcPr>
                  <w:tcW w:w="62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6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25</w:t>
                  </w: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34.7</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rPr>
                    <w:t>4</w:t>
                  </w:r>
                </w:p>
              </w:tc>
              <w:tc>
                <w:tcPr>
                  <w:tcW w:w="687"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1268"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lang w:val="en-US" w:eastAsia="zh-CN" w:bidi="ar"/>
                    </w:rPr>
                  </w:pPr>
                  <w:r>
                    <w:rPr>
                      <w:rFonts w:hint="default" w:ascii="Times New Roman" w:hAnsi="Times New Roman" w:eastAsia="宋体" w:cs="Times New Roman"/>
                      <w:b w:val="0"/>
                      <w:bCs w:val="0"/>
                      <w:snapToGrid w:val="0"/>
                      <w:kern w:val="0"/>
                      <w:szCs w:val="21"/>
                      <w:lang w:bidi="ar"/>
                    </w:rPr>
                    <w:t>抛丸机</w:t>
                  </w:r>
                </w:p>
              </w:tc>
              <w:tc>
                <w:tcPr>
                  <w:tcW w:w="450"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default" w:ascii="Times New Roman" w:hAnsi="Times New Roman" w:eastAsia="宋体" w:cs="Times New Roman"/>
                      <w:b w:val="0"/>
                      <w:bCs w:val="0"/>
                      <w:snapToGrid w:val="0"/>
                      <w:sz w:val="21"/>
                      <w:szCs w:val="21"/>
                      <w:vertAlign w:val="baseline"/>
                      <w:lang w:val="en-US" w:eastAsia="zh-CN"/>
                    </w:rPr>
                    <w:t>/</w:t>
                  </w:r>
                </w:p>
              </w:tc>
              <w:tc>
                <w:tcPr>
                  <w:tcW w:w="1241"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vertAlign w:val="baseline"/>
                    </w:rPr>
                  </w:pPr>
                  <w:r>
                    <w:rPr>
                      <w:rFonts w:hint="eastAsia"/>
                      <w:snapToGrid w:val="0"/>
                      <w:kern w:val="0"/>
                      <w:szCs w:val="21"/>
                      <w:lang w:bidi="ar"/>
                    </w:rPr>
                    <w:t>95</w:t>
                  </w:r>
                </w:p>
              </w:tc>
              <w:tc>
                <w:tcPr>
                  <w:tcW w:w="75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0</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0</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70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0</w:t>
                  </w:r>
                </w:p>
              </w:tc>
              <w:tc>
                <w:tcPr>
                  <w:tcW w:w="68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95</w:t>
                  </w:r>
                </w:p>
              </w:tc>
              <w:tc>
                <w:tcPr>
                  <w:tcW w:w="62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6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25</w:t>
                  </w: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65.2</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rPr>
                    <w:t>5</w:t>
                  </w:r>
                </w:p>
              </w:tc>
              <w:tc>
                <w:tcPr>
                  <w:tcW w:w="687" w:type="dxa"/>
                  <w:vMerge w:val="restart"/>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default" w:ascii="Times New Roman" w:hAnsi="Times New Roman" w:eastAsia="宋体" w:cs="Times New Roman"/>
                      <w:b w:val="0"/>
                      <w:bCs w:val="0"/>
                      <w:snapToGrid w:val="0"/>
                      <w:sz w:val="21"/>
                      <w:szCs w:val="21"/>
                      <w:vertAlign w:val="baseline"/>
                      <w:lang w:val="en-US" w:eastAsia="zh-CN"/>
                    </w:rPr>
                    <w:t>厂房四</w:t>
                  </w:r>
                </w:p>
              </w:tc>
              <w:tc>
                <w:tcPr>
                  <w:tcW w:w="1268"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lang w:val="en-US" w:eastAsia="zh-CN" w:bidi="ar"/>
                    </w:rPr>
                  </w:pPr>
                  <w:r>
                    <w:rPr>
                      <w:rFonts w:hint="default" w:ascii="Times New Roman" w:hAnsi="Times New Roman" w:eastAsia="宋体" w:cs="Times New Roman"/>
                      <w:b w:val="0"/>
                      <w:bCs w:val="0"/>
                      <w:snapToGrid w:val="0"/>
                      <w:kern w:val="0"/>
                      <w:szCs w:val="21"/>
                    </w:rPr>
                    <w:t>振动研磨机</w:t>
                  </w:r>
                </w:p>
              </w:tc>
              <w:tc>
                <w:tcPr>
                  <w:tcW w:w="450"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default" w:ascii="Times New Roman" w:hAnsi="Times New Roman" w:eastAsia="宋体" w:cs="Times New Roman"/>
                      <w:b w:val="0"/>
                      <w:bCs w:val="0"/>
                      <w:snapToGrid w:val="0"/>
                      <w:sz w:val="21"/>
                      <w:szCs w:val="21"/>
                      <w:vertAlign w:val="baseline"/>
                      <w:lang w:val="en-US" w:eastAsia="zh-CN"/>
                    </w:rPr>
                    <w:t>/</w:t>
                  </w:r>
                </w:p>
              </w:tc>
              <w:tc>
                <w:tcPr>
                  <w:tcW w:w="1241"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vertAlign w:val="baseline"/>
                    </w:rPr>
                  </w:pPr>
                  <w:r>
                    <w:rPr>
                      <w:snapToGrid w:val="0"/>
                      <w:kern w:val="0"/>
                      <w:szCs w:val="21"/>
                      <w:lang w:bidi="ar"/>
                    </w:rPr>
                    <w:t>80</w:t>
                  </w:r>
                </w:p>
              </w:tc>
              <w:tc>
                <w:tcPr>
                  <w:tcW w:w="75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2</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23</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706"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4</w:t>
                  </w:r>
                </w:p>
              </w:tc>
              <w:tc>
                <w:tcPr>
                  <w:tcW w:w="68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56.6</w:t>
                  </w:r>
                </w:p>
              </w:tc>
              <w:tc>
                <w:tcPr>
                  <w:tcW w:w="62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6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25</w:t>
                  </w: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31.0</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rPr>
                    <w:t>6</w:t>
                  </w:r>
                </w:p>
              </w:tc>
              <w:tc>
                <w:tcPr>
                  <w:tcW w:w="687"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1268"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lang w:val="en-US" w:eastAsia="zh-CN" w:bidi="ar"/>
                    </w:rPr>
                  </w:pPr>
                  <w:r>
                    <w:rPr>
                      <w:rFonts w:hint="default" w:ascii="Times New Roman" w:hAnsi="Times New Roman" w:eastAsia="宋体" w:cs="Times New Roman"/>
                      <w:b w:val="0"/>
                      <w:bCs w:val="0"/>
                      <w:snapToGrid w:val="0"/>
                      <w:kern w:val="0"/>
                      <w:szCs w:val="21"/>
                    </w:rPr>
                    <w:t>压机</w:t>
                  </w:r>
                </w:p>
              </w:tc>
              <w:tc>
                <w:tcPr>
                  <w:tcW w:w="450"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default" w:ascii="Times New Roman" w:hAnsi="Times New Roman" w:eastAsia="宋体" w:cs="Times New Roman"/>
                      <w:b w:val="0"/>
                      <w:bCs w:val="0"/>
                      <w:snapToGrid w:val="0"/>
                      <w:sz w:val="21"/>
                      <w:szCs w:val="21"/>
                      <w:vertAlign w:val="baseline"/>
                      <w:lang w:val="en-US" w:eastAsia="zh-CN"/>
                    </w:rPr>
                    <w:t>/</w:t>
                  </w:r>
                </w:p>
              </w:tc>
              <w:tc>
                <w:tcPr>
                  <w:tcW w:w="1241"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vertAlign w:val="baseline"/>
                    </w:rPr>
                  </w:pPr>
                  <w:r>
                    <w:rPr>
                      <w:snapToGrid w:val="0"/>
                      <w:kern w:val="0"/>
                      <w:szCs w:val="21"/>
                      <w:lang w:bidi="ar"/>
                    </w:rPr>
                    <w:t>80</w:t>
                  </w:r>
                </w:p>
              </w:tc>
              <w:tc>
                <w:tcPr>
                  <w:tcW w:w="75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-5</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26</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706"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2</w:t>
                  </w:r>
                </w:p>
              </w:tc>
              <w:tc>
                <w:tcPr>
                  <w:tcW w:w="68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68.4</w:t>
                  </w:r>
                </w:p>
              </w:tc>
              <w:tc>
                <w:tcPr>
                  <w:tcW w:w="62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6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25</w:t>
                  </w: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34.3</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rPr>
                    <w:t>7</w:t>
                  </w:r>
                </w:p>
              </w:tc>
              <w:tc>
                <w:tcPr>
                  <w:tcW w:w="687"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1268"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lang w:val="en-US" w:eastAsia="zh-CN" w:bidi="ar"/>
                    </w:rPr>
                  </w:pPr>
                  <w:r>
                    <w:rPr>
                      <w:rFonts w:hint="default" w:ascii="Times New Roman" w:hAnsi="Times New Roman" w:eastAsia="宋体" w:cs="Times New Roman"/>
                      <w:b w:val="0"/>
                      <w:bCs w:val="0"/>
                      <w:snapToGrid w:val="0"/>
                      <w:kern w:val="0"/>
                      <w:szCs w:val="21"/>
                    </w:rPr>
                    <w:t>数控车床</w:t>
                  </w:r>
                </w:p>
              </w:tc>
              <w:tc>
                <w:tcPr>
                  <w:tcW w:w="450"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default" w:ascii="Times New Roman" w:hAnsi="Times New Roman" w:eastAsia="宋体" w:cs="Times New Roman"/>
                      <w:b w:val="0"/>
                      <w:bCs w:val="0"/>
                      <w:snapToGrid w:val="0"/>
                      <w:sz w:val="21"/>
                      <w:szCs w:val="21"/>
                      <w:vertAlign w:val="baseline"/>
                      <w:lang w:val="en-US" w:eastAsia="zh-CN"/>
                    </w:rPr>
                    <w:t>/</w:t>
                  </w:r>
                </w:p>
              </w:tc>
              <w:tc>
                <w:tcPr>
                  <w:tcW w:w="1241"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vertAlign w:val="baseline"/>
                    </w:rPr>
                  </w:pPr>
                  <w:r>
                    <w:rPr>
                      <w:snapToGrid w:val="0"/>
                      <w:kern w:val="0"/>
                      <w:szCs w:val="21"/>
                      <w:lang w:bidi="ar"/>
                    </w:rPr>
                    <w:t>80</w:t>
                  </w:r>
                </w:p>
              </w:tc>
              <w:tc>
                <w:tcPr>
                  <w:tcW w:w="75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-7</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24</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70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10</w:t>
                  </w:r>
                </w:p>
              </w:tc>
              <w:tc>
                <w:tcPr>
                  <w:tcW w:w="68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59.0</w:t>
                  </w:r>
                </w:p>
              </w:tc>
              <w:tc>
                <w:tcPr>
                  <w:tcW w:w="62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6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25</w:t>
                  </w: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33.3</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rPr>
                    <w:t>8</w:t>
                  </w:r>
                </w:p>
              </w:tc>
              <w:tc>
                <w:tcPr>
                  <w:tcW w:w="687"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1268"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lang w:val="en-US" w:eastAsia="zh-CN" w:bidi="ar"/>
                    </w:rPr>
                  </w:pPr>
                  <w:r>
                    <w:rPr>
                      <w:rFonts w:hint="default" w:ascii="Times New Roman" w:hAnsi="Times New Roman" w:eastAsia="宋体" w:cs="Times New Roman"/>
                      <w:b w:val="0"/>
                      <w:bCs w:val="0"/>
                      <w:snapToGrid w:val="0"/>
                      <w:kern w:val="0"/>
                      <w:szCs w:val="21"/>
                    </w:rPr>
                    <w:t>加工中心</w:t>
                  </w:r>
                </w:p>
              </w:tc>
              <w:tc>
                <w:tcPr>
                  <w:tcW w:w="450"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default" w:ascii="Times New Roman" w:hAnsi="Times New Roman" w:eastAsia="宋体" w:cs="Times New Roman"/>
                      <w:b w:val="0"/>
                      <w:bCs w:val="0"/>
                      <w:snapToGrid w:val="0"/>
                      <w:sz w:val="21"/>
                      <w:szCs w:val="21"/>
                      <w:vertAlign w:val="baseline"/>
                      <w:lang w:val="en-US" w:eastAsia="zh-CN"/>
                    </w:rPr>
                    <w:t>/</w:t>
                  </w:r>
                </w:p>
              </w:tc>
              <w:tc>
                <w:tcPr>
                  <w:tcW w:w="1241"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vertAlign w:val="baseline"/>
                    </w:rPr>
                  </w:pPr>
                  <w:r>
                    <w:rPr>
                      <w:snapToGrid w:val="0"/>
                      <w:kern w:val="0"/>
                      <w:szCs w:val="21"/>
                      <w:lang w:bidi="ar"/>
                    </w:rPr>
                    <w:t>80</w:t>
                  </w:r>
                </w:p>
              </w:tc>
              <w:tc>
                <w:tcPr>
                  <w:tcW w:w="75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-15</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-5</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70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10</w:t>
                  </w:r>
                </w:p>
              </w:tc>
              <w:tc>
                <w:tcPr>
                  <w:tcW w:w="68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61.0</w:t>
                  </w:r>
                </w:p>
              </w:tc>
              <w:tc>
                <w:tcPr>
                  <w:tcW w:w="62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6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25</w:t>
                  </w: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36.6</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rPr>
                    <w:t>9</w:t>
                  </w:r>
                </w:p>
              </w:tc>
              <w:tc>
                <w:tcPr>
                  <w:tcW w:w="687"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1268"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lang w:val="en-US" w:eastAsia="zh-CN" w:bidi="ar"/>
                    </w:rPr>
                  </w:pPr>
                  <w:r>
                    <w:rPr>
                      <w:rFonts w:hint="default" w:ascii="Times New Roman" w:hAnsi="Times New Roman" w:eastAsia="宋体" w:cs="Times New Roman"/>
                      <w:b w:val="0"/>
                      <w:bCs w:val="0"/>
                      <w:snapToGrid w:val="0"/>
                      <w:kern w:val="0"/>
                      <w:szCs w:val="21"/>
                      <w:lang w:bidi="ar"/>
                    </w:rPr>
                    <w:t>混合搅拌机</w:t>
                  </w:r>
                </w:p>
              </w:tc>
              <w:tc>
                <w:tcPr>
                  <w:tcW w:w="450"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default" w:ascii="Times New Roman" w:hAnsi="Times New Roman" w:eastAsia="宋体" w:cs="Times New Roman"/>
                      <w:b w:val="0"/>
                      <w:bCs w:val="0"/>
                      <w:snapToGrid w:val="0"/>
                      <w:sz w:val="21"/>
                      <w:szCs w:val="21"/>
                      <w:vertAlign w:val="baseline"/>
                      <w:lang w:val="en-US" w:eastAsia="zh-CN"/>
                    </w:rPr>
                    <w:t>/</w:t>
                  </w:r>
                </w:p>
              </w:tc>
              <w:tc>
                <w:tcPr>
                  <w:tcW w:w="1241"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vertAlign w:val="baseline"/>
                    </w:rPr>
                  </w:pPr>
                  <w:r>
                    <w:rPr>
                      <w:snapToGrid w:val="0"/>
                      <w:kern w:val="0"/>
                      <w:szCs w:val="21"/>
                      <w:lang w:bidi="ar"/>
                    </w:rPr>
                    <w:t>80</w:t>
                  </w:r>
                </w:p>
              </w:tc>
              <w:tc>
                <w:tcPr>
                  <w:tcW w:w="75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-17</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-3</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70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10</w:t>
                  </w:r>
                </w:p>
              </w:tc>
              <w:tc>
                <w:tcPr>
                  <w:tcW w:w="68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61.6</w:t>
                  </w:r>
                </w:p>
              </w:tc>
              <w:tc>
                <w:tcPr>
                  <w:tcW w:w="62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6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25</w:t>
                  </w: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36.7</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rPr>
                    <w:t>10</w:t>
                  </w:r>
                </w:p>
              </w:tc>
              <w:tc>
                <w:tcPr>
                  <w:tcW w:w="687"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1268"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lang w:val="en-US" w:eastAsia="zh-CN" w:bidi="ar"/>
                    </w:rPr>
                  </w:pPr>
                  <w:r>
                    <w:rPr>
                      <w:rFonts w:hint="default" w:ascii="Times New Roman" w:hAnsi="Times New Roman" w:eastAsia="宋体" w:cs="Times New Roman"/>
                      <w:b w:val="0"/>
                      <w:bCs w:val="0"/>
                      <w:snapToGrid w:val="0"/>
                      <w:kern w:val="0"/>
                      <w:szCs w:val="21"/>
                      <w:lang w:bidi="ar"/>
                    </w:rPr>
                    <w:t>挤管机</w:t>
                  </w:r>
                </w:p>
              </w:tc>
              <w:tc>
                <w:tcPr>
                  <w:tcW w:w="450"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default" w:ascii="Times New Roman" w:hAnsi="Times New Roman" w:eastAsia="宋体" w:cs="Times New Roman"/>
                      <w:b w:val="0"/>
                      <w:bCs w:val="0"/>
                      <w:snapToGrid w:val="0"/>
                      <w:sz w:val="21"/>
                      <w:szCs w:val="21"/>
                      <w:vertAlign w:val="baseline"/>
                      <w:lang w:val="en-US" w:eastAsia="zh-CN"/>
                    </w:rPr>
                    <w:t>/</w:t>
                  </w:r>
                </w:p>
              </w:tc>
              <w:tc>
                <w:tcPr>
                  <w:tcW w:w="1241"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vertAlign w:val="baseline"/>
                    </w:rPr>
                  </w:pPr>
                  <w:r>
                    <w:rPr>
                      <w:snapToGrid w:val="0"/>
                      <w:kern w:val="0"/>
                      <w:szCs w:val="21"/>
                      <w:lang w:bidi="ar"/>
                    </w:rPr>
                    <w:t>80</w:t>
                  </w:r>
                </w:p>
              </w:tc>
              <w:tc>
                <w:tcPr>
                  <w:tcW w:w="75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5</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4</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70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15</w:t>
                  </w:r>
                </w:p>
              </w:tc>
              <w:tc>
                <w:tcPr>
                  <w:tcW w:w="68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59.4</w:t>
                  </w:r>
                </w:p>
              </w:tc>
              <w:tc>
                <w:tcPr>
                  <w:tcW w:w="62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6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25</w:t>
                  </w: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35.1</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rPr>
                    <w:t>11</w:t>
                  </w:r>
                </w:p>
              </w:tc>
              <w:tc>
                <w:tcPr>
                  <w:tcW w:w="687"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1268"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lang w:val="en-US" w:eastAsia="zh-CN" w:bidi="ar"/>
                    </w:rPr>
                  </w:pPr>
                  <w:r>
                    <w:rPr>
                      <w:rFonts w:hint="default" w:ascii="Times New Roman" w:hAnsi="Times New Roman" w:eastAsia="宋体" w:cs="Times New Roman"/>
                      <w:b w:val="0"/>
                      <w:bCs w:val="0"/>
                      <w:snapToGrid w:val="0"/>
                      <w:kern w:val="0"/>
                      <w:szCs w:val="21"/>
                      <w:lang w:bidi="ar"/>
                    </w:rPr>
                    <w:t>拼捻机</w:t>
                  </w:r>
                </w:p>
              </w:tc>
              <w:tc>
                <w:tcPr>
                  <w:tcW w:w="450"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default" w:ascii="Times New Roman" w:hAnsi="Times New Roman" w:eastAsia="宋体" w:cs="Times New Roman"/>
                      <w:b w:val="0"/>
                      <w:bCs w:val="0"/>
                      <w:snapToGrid w:val="0"/>
                      <w:sz w:val="21"/>
                      <w:szCs w:val="21"/>
                      <w:vertAlign w:val="baseline"/>
                      <w:lang w:val="en-US" w:eastAsia="zh-CN"/>
                    </w:rPr>
                    <w:t>/</w:t>
                  </w:r>
                </w:p>
              </w:tc>
              <w:tc>
                <w:tcPr>
                  <w:tcW w:w="1241"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vertAlign w:val="baseline"/>
                    </w:rPr>
                  </w:pPr>
                  <w:r>
                    <w:rPr>
                      <w:snapToGrid w:val="0"/>
                      <w:kern w:val="0"/>
                      <w:szCs w:val="21"/>
                      <w:lang w:bidi="ar"/>
                    </w:rPr>
                    <w:t>80</w:t>
                  </w:r>
                </w:p>
              </w:tc>
              <w:tc>
                <w:tcPr>
                  <w:tcW w:w="75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8</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70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15</w:t>
                  </w:r>
                </w:p>
              </w:tc>
              <w:tc>
                <w:tcPr>
                  <w:tcW w:w="68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59.5</w:t>
                  </w:r>
                </w:p>
              </w:tc>
              <w:tc>
                <w:tcPr>
                  <w:tcW w:w="62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6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25</w:t>
                  </w: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32.8</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snapToGrid w:val="0"/>
                      <w:kern w:val="0"/>
                      <w:sz w:val="21"/>
                      <w:szCs w:val="21"/>
                      <w:lang w:val="en-US" w:eastAsia="zh-CN" w:bidi="ar-SA"/>
                    </w:rPr>
                  </w:pPr>
                  <w:r>
                    <w:rPr>
                      <w:rFonts w:hint="default" w:ascii="Times New Roman" w:hAnsi="Times New Roman" w:eastAsia="宋体" w:cs="Times New Roman"/>
                      <w:b w:val="0"/>
                      <w:bCs w:val="0"/>
                      <w:snapToGrid w:val="0"/>
                      <w:kern w:val="0"/>
                      <w:szCs w:val="21"/>
                    </w:rPr>
                    <w:t>12</w:t>
                  </w:r>
                </w:p>
              </w:tc>
              <w:tc>
                <w:tcPr>
                  <w:tcW w:w="687"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1268"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lang w:val="en-US" w:eastAsia="zh-CN" w:bidi="ar"/>
                    </w:rPr>
                  </w:pPr>
                  <w:r>
                    <w:rPr>
                      <w:rFonts w:hint="default" w:ascii="Times New Roman" w:hAnsi="Times New Roman" w:eastAsia="宋体" w:cs="Times New Roman"/>
                      <w:b w:val="0"/>
                      <w:bCs w:val="0"/>
                      <w:snapToGrid w:val="0"/>
                      <w:kern w:val="0"/>
                      <w:szCs w:val="21"/>
                      <w:lang w:bidi="ar"/>
                    </w:rPr>
                    <w:t>圆织机</w:t>
                  </w:r>
                </w:p>
              </w:tc>
              <w:tc>
                <w:tcPr>
                  <w:tcW w:w="450"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default" w:ascii="Times New Roman" w:hAnsi="Times New Roman" w:eastAsia="宋体" w:cs="Times New Roman"/>
                      <w:b w:val="0"/>
                      <w:bCs w:val="0"/>
                      <w:snapToGrid w:val="0"/>
                      <w:sz w:val="21"/>
                      <w:szCs w:val="21"/>
                      <w:vertAlign w:val="baseline"/>
                      <w:lang w:val="en-US" w:eastAsia="zh-CN"/>
                    </w:rPr>
                    <w:t>/</w:t>
                  </w:r>
                </w:p>
              </w:tc>
              <w:tc>
                <w:tcPr>
                  <w:tcW w:w="1241" w:type="dxa"/>
                  <w:tcBorders>
                    <w:tl2br w:val="nil"/>
                    <w:tr2bl w:val="nil"/>
                  </w:tcBorders>
                  <w:vAlign w:val="center"/>
                </w:tcPr>
                <w:p>
                  <w:pPr>
                    <w:widowControl/>
                    <w:adjustRightInd w:val="0"/>
                    <w:snapToGrid w:val="0"/>
                    <w:jc w:val="center"/>
                    <w:textAlignment w:val="center"/>
                    <w:rPr>
                      <w:rFonts w:hint="default" w:ascii="Times New Roman" w:hAnsi="Times New Roman" w:eastAsia="宋体" w:cs="Times New Roman"/>
                      <w:b w:val="0"/>
                      <w:bCs w:val="0"/>
                      <w:snapToGrid w:val="0"/>
                      <w:kern w:val="0"/>
                      <w:sz w:val="21"/>
                      <w:szCs w:val="21"/>
                      <w:vertAlign w:val="baseline"/>
                    </w:rPr>
                  </w:pPr>
                  <w:r>
                    <w:rPr>
                      <w:rFonts w:hint="eastAsia"/>
                      <w:snapToGrid w:val="0"/>
                      <w:kern w:val="0"/>
                      <w:szCs w:val="21"/>
                      <w:lang w:bidi="ar"/>
                    </w:rPr>
                    <w:t>70</w:t>
                  </w:r>
                </w:p>
              </w:tc>
              <w:tc>
                <w:tcPr>
                  <w:tcW w:w="75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20</w:t>
                  </w:r>
                </w:p>
              </w:tc>
              <w:tc>
                <w:tcPr>
                  <w:tcW w:w="501"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10</w:t>
                  </w:r>
                </w:p>
              </w:tc>
              <w:tc>
                <w:tcPr>
                  <w:tcW w:w="361"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6</w:t>
                  </w:r>
                </w:p>
              </w:tc>
              <w:tc>
                <w:tcPr>
                  <w:tcW w:w="706" w:type="dxa"/>
                  <w:tcBorders>
                    <w:tl2br w:val="nil"/>
                    <w:tr2bl w:val="nil"/>
                  </w:tcBorders>
                  <w:vAlign w:val="center"/>
                </w:tcPr>
                <w:p>
                  <w:pPr>
                    <w:pStyle w:val="31"/>
                    <w:adjustRightInd w:val="0"/>
                    <w:spacing w:before="0" w:after="0" w:line="240" w:lineRule="auto"/>
                    <w:ind w:right="0" w:firstLine="0" w:firstLineChars="0"/>
                    <w:jc w:val="center"/>
                    <w:rPr>
                      <w:rFonts w:hint="eastAsia"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5</w:t>
                  </w:r>
                </w:p>
              </w:tc>
              <w:tc>
                <w:tcPr>
                  <w:tcW w:w="68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56.0</w:t>
                  </w:r>
                </w:p>
              </w:tc>
              <w:tc>
                <w:tcPr>
                  <w:tcW w:w="622" w:type="dxa"/>
                  <w:vMerge w:val="continue"/>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p>
              </w:tc>
              <w:tc>
                <w:tcPr>
                  <w:tcW w:w="566"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rPr>
                  </w:pPr>
                  <w:r>
                    <w:rPr>
                      <w:rFonts w:hint="eastAsia" w:ascii="Times New Roman" w:hAnsi="Times New Roman" w:eastAsia="宋体" w:cs="Times New Roman"/>
                      <w:b w:val="0"/>
                      <w:bCs w:val="0"/>
                      <w:snapToGrid w:val="0"/>
                      <w:sz w:val="21"/>
                      <w:szCs w:val="21"/>
                      <w:vertAlign w:val="baseline"/>
                      <w:lang w:val="en-US" w:eastAsia="zh-CN"/>
                    </w:rPr>
                    <w:t>25</w:t>
                  </w:r>
                </w:p>
              </w:tc>
              <w:tc>
                <w:tcPr>
                  <w:tcW w:w="613"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27.8</w:t>
                  </w:r>
                </w:p>
              </w:tc>
              <w:tc>
                <w:tcPr>
                  <w:tcW w:w="544" w:type="dxa"/>
                  <w:tcBorders>
                    <w:tl2br w:val="nil"/>
                    <w:tr2bl w:val="nil"/>
                  </w:tcBorders>
                  <w:vAlign w:val="center"/>
                </w:tcPr>
                <w:p>
                  <w:pPr>
                    <w:pStyle w:val="31"/>
                    <w:adjustRightInd w:val="0"/>
                    <w:spacing w:before="0" w:after="0" w:line="240" w:lineRule="auto"/>
                    <w:ind w:right="0" w:firstLine="0" w:firstLineChars="0"/>
                    <w:jc w:val="center"/>
                    <w:rPr>
                      <w:rFonts w:hint="default" w:ascii="Times New Roman" w:hAnsi="Times New Roman" w:eastAsia="宋体" w:cs="Times New Roman"/>
                      <w:b w:val="0"/>
                      <w:bCs w:val="0"/>
                      <w:snapToGrid w:val="0"/>
                      <w:sz w:val="21"/>
                      <w:szCs w:val="21"/>
                      <w:vertAlign w:val="baseline"/>
                      <w:lang w:val="en-US" w:eastAsia="zh-CN"/>
                    </w:rPr>
                  </w:pPr>
                  <w:r>
                    <w:rPr>
                      <w:rFonts w:hint="eastAsia" w:ascii="Times New Roman" w:hAnsi="Times New Roman" w:eastAsia="宋体" w:cs="Times New Roman"/>
                      <w:b w:val="0"/>
                      <w:bCs w:val="0"/>
                      <w:snapToGrid w:val="0"/>
                      <w:sz w:val="21"/>
                      <w:szCs w:val="21"/>
                      <w:vertAlign w:val="baseline"/>
                      <w:lang w:val="en-US" w:eastAsia="zh-CN"/>
                    </w:rPr>
                    <w:t>40</w:t>
                  </w:r>
                </w:p>
              </w:tc>
            </w:tr>
          </w:tbl>
          <w:p>
            <w:pPr>
              <w:adjustRightInd w:val="0"/>
              <w:snapToGrid w:val="0"/>
              <w:spacing w:line="500" w:lineRule="exact"/>
              <w:ind w:firstLine="480" w:firstLineChars="200"/>
              <w:rPr>
                <w:sz w:val="24"/>
              </w:rPr>
            </w:pPr>
            <w:r>
              <w:rPr>
                <w:rFonts w:hint="eastAsia"/>
                <w:sz w:val="24"/>
              </w:rPr>
              <w:t>②噪声污染防治措施</w:t>
            </w:r>
          </w:p>
          <w:p>
            <w:pPr>
              <w:adjustRightInd w:val="0"/>
              <w:snapToGrid w:val="0"/>
              <w:spacing w:line="500" w:lineRule="exact"/>
              <w:ind w:firstLine="480" w:firstLineChars="200"/>
              <w:rPr>
                <w:sz w:val="24"/>
              </w:rPr>
            </w:pPr>
            <w:r>
              <w:rPr>
                <w:rFonts w:hint="eastAsia"/>
                <w:sz w:val="24"/>
              </w:rPr>
              <w:t>为进一步减小项目噪声影响，针对项目特点，建设单位采取了不同的噪声防治措施，首先是先从声源上进行有效控制，其次采取有效的隔声、消声、吸声等控制措施，厂区已采取噪声防治措施如下：</w:t>
            </w:r>
          </w:p>
          <w:p>
            <w:pPr>
              <w:adjustRightInd w:val="0"/>
              <w:snapToGrid w:val="0"/>
              <w:spacing w:line="500" w:lineRule="exact"/>
              <w:ind w:firstLine="480" w:firstLineChars="200"/>
              <w:rPr>
                <w:sz w:val="24"/>
              </w:rPr>
            </w:pPr>
            <w:r>
              <w:rPr>
                <w:rFonts w:hint="eastAsia"/>
                <w:sz w:val="24"/>
              </w:rPr>
              <w:t>a.从声源上控制，加工设备选择低噪声和符合国家噪声标准的设备。生产设备均采用性能好、噪声发生源强小和生产效率高的设备。动力设备采用钢砼隔振基础，管道、阀门接口采取缓动及减振的挠性接头（口）。</w:t>
            </w:r>
          </w:p>
          <w:p>
            <w:pPr>
              <w:adjustRightInd w:val="0"/>
              <w:snapToGrid w:val="0"/>
              <w:spacing w:line="500" w:lineRule="exact"/>
              <w:ind w:firstLine="480" w:firstLineChars="200"/>
              <w:rPr>
                <w:sz w:val="24"/>
              </w:rPr>
            </w:pPr>
            <w:r>
              <w:rPr>
                <w:rFonts w:hint="eastAsia"/>
                <w:sz w:val="24"/>
              </w:rPr>
              <w:t>b.合理布局：将高噪声设备尽量布置在厂区中间，远离厂界，通过距离衰减减轻噪声对周围环境的影响。</w:t>
            </w:r>
          </w:p>
          <w:p>
            <w:pPr>
              <w:adjustRightInd w:val="0"/>
              <w:snapToGrid w:val="0"/>
              <w:spacing w:line="500" w:lineRule="exact"/>
              <w:ind w:firstLine="480" w:firstLineChars="200"/>
              <w:rPr>
                <w:sz w:val="24"/>
              </w:rPr>
            </w:pPr>
            <w:r>
              <w:rPr>
                <w:rFonts w:hint="eastAsia"/>
                <w:sz w:val="24"/>
              </w:rPr>
              <w:t>c.加强管理：平时加强对各噪声设备的保养、检修，保证设备良好运转，减轻运行噪声强度。</w:t>
            </w:r>
          </w:p>
          <w:p>
            <w:pPr>
              <w:adjustRightInd w:val="0"/>
              <w:snapToGrid w:val="0"/>
              <w:spacing w:line="500" w:lineRule="exact"/>
              <w:ind w:firstLine="480" w:firstLineChars="200"/>
              <w:rPr>
                <w:sz w:val="24"/>
              </w:rPr>
            </w:pPr>
            <w:r>
              <w:rPr>
                <w:rFonts w:hint="eastAsia"/>
                <w:sz w:val="24"/>
              </w:rPr>
              <w:t>d.在设计及安装中根据不同的设备采取消声、减振、隔声。经过基础减振、消声等措施噪声可降低5～10dB（A）；车间墙体隔声可达到10～15dB（A）的隔声量。</w:t>
            </w:r>
          </w:p>
          <w:p>
            <w:pPr>
              <w:adjustRightInd w:val="0"/>
              <w:snapToGrid w:val="0"/>
              <w:spacing w:line="500" w:lineRule="exact"/>
              <w:ind w:firstLine="480" w:firstLineChars="200"/>
              <w:rPr>
                <w:sz w:val="24"/>
              </w:rPr>
            </w:pPr>
            <w:r>
              <w:rPr>
                <w:rFonts w:hint="eastAsia"/>
                <w:sz w:val="24"/>
              </w:rPr>
              <w:t>e.消声、减振措施：主要噪声设备还应采取隔声、消音、减震等降噪措施。对车间排气筒的室外风机采取消声器降噪，一般可以降低20dB左右。</w:t>
            </w:r>
          </w:p>
          <w:p>
            <w:pPr>
              <w:pStyle w:val="60"/>
              <w:adjustRightInd w:val="0"/>
              <w:snapToGrid w:val="0"/>
              <w:spacing w:line="500" w:lineRule="exact"/>
              <w:ind w:firstLine="480" w:firstLineChars="200"/>
              <w:rPr>
                <w:rFonts w:ascii="Times New Roman" w:hAnsi="Times New Roman" w:cs="Times New Roman"/>
                <w:sz w:val="24"/>
              </w:rPr>
            </w:pPr>
            <w:r>
              <w:rPr>
                <w:rFonts w:ascii="Times New Roman" w:hAnsi="Times New Roman" w:cs="Times New Roman"/>
                <w:sz w:val="24"/>
                <w:lang w:val="en-US"/>
              </w:rPr>
              <w:t>本项目通过相应的降噪措施和距离衰减后，可使厂界噪声满足《工业企业厂界环境噪声排放标准》（GB12348-2008）</w:t>
            </w:r>
            <w:r>
              <w:rPr>
                <w:rFonts w:hint="eastAsia" w:ascii="Times New Roman" w:hAnsi="Times New Roman" w:cs="Times New Roman"/>
                <w:color w:val="0000FF"/>
                <w:sz w:val="24"/>
                <w:lang w:val="en-US" w:eastAsia="zh-CN"/>
              </w:rPr>
              <w:t>3</w:t>
            </w:r>
            <w:r>
              <w:rPr>
                <w:rFonts w:ascii="Times New Roman" w:hAnsi="Times New Roman" w:cs="Times New Roman"/>
                <w:sz w:val="24"/>
                <w:lang w:val="en-US"/>
              </w:rPr>
              <w:t>类标准，即：昼间噪声值小于</w:t>
            </w:r>
            <w:r>
              <w:rPr>
                <w:rFonts w:ascii="Times New Roman" w:hAnsi="Times New Roman" w:cs="Times New Roman"/>
                <w:color w:val="0000FF"/>
                <w:sz w:val="24"/>
                <w:lang w:val="en-US"/>
              </w:rPr>
              <w:t>6</w:t>
            </w:r>
            <w:r>
              <w:rPr>
                <w:rFonts w:hint="eastAsia" w:ascii="Times New Roman" w:hAnsi="Times New Roman" w:cs="Times New Roman"/>
                <w:color w:val="0000FF"/>
                <w:sz w:val="24"/>
                <w:lang w:val="en-US" w:eastAsia="zh-CN"/>
              </w:rPr>
              <w:t>5</w:t>
            </w:r>
            <w:r>
              <w:rPr>
                <w:rFonts w:ascii="Times New Roman" w:hAnsi="Times New Roman" w:cs="Times New Roman"/>
                <w:sz w:val="24"/>
                <w:lang w:val="en-US"/>
              </w:rPr>
              <w:t>dB（A）、夜间噪声值小于</w:t>
            </w:r>
            <w:r>
              <w:rPr>
                <w:rFonts w:hint="eastAsia" w:ascii="Times New Roman" w:hAnsi="Times New Roman" w:cs="Times New Roman"/>
                <w:color w:val="0000FF"/>
                <w:sz w:val="24"/>
                <w:lang w:val="en-US" w:eastAsia="zh-CN"/>
              </w:rPr>
              <w:t>55</w:t>
            </w:r>
            <w:r>
              <w:rPr>
                <w:rFonts w:ascii="Times New Roman" w:hAnsi="Times New Roman" w:cs="Times New Roman"/>
                <w:sz w:val="24"/>
                <w:lang w:val="en-US"/>
              </w:rPr>
              <w:t>dB（A），因此，本项目噪声源对周围环境影响较小。</w:t>
            </w:r>
          </w:p>
          <w:p>
            <w:pPr>
              <w:adjustRightInd w:val="0"/>
              <w:snapToGrid w:val="0"/>
              <w:spacing w:line="500" w:lineRule="exact"/>
              <w:ind w:firstLine="480" w:firstLineChars="200"/>
              <w:rPr>
                <w:sz w:val="24"/>
              </w:rPr>
            </w:pPr>
            <w:r>
              <w:rPr>
                <w:rFonts w:hint="eastAsia"/>
                <w:sz w:val="24"/>
              </w:rPr>
              <w:t>本项目声环境影响预测模式如下：</w:t>
            </w:r>
          </w:p>
          <w:p>
            <w:pPr>
              <w:adjustRightInd w:val="0"/>
              <w:snapToGrid w:val="0"/>
              <w:spacing w:line="500" w:lineRule="exact"/>
              <w:ind w:firstLine="480" w:firstLineChars="200"/>
              <w:rPr>
                <w:sz w:val="24"/>
              </w:rPr>
            </w:pPr>
            <w:r>
              <w:rPr>
                <w:rFonts w:hint="eastAsia"/>
                <w:sz w:val="24"/>
              </w:rPr>
              <w:t>①本项目的声源在预测点产生的等效声级贡献值（Leqg）按下式计算：</w:t>
            </w:r>
          </w:p>
          <w:p>
            <w:pPr>
              <w:adjustRightInd w:val="0"/>
              <w:snapToGrid w:val="0"/>
              <w:spacing w:line="500" w:lineRule="exact"/>
              <w:ind w:firstLine="480" w:firstLineChars="200"/>
              <w:jc w:val="center"/>
              <w:rPr>
                <w:sz w:val="24"/>
              </w:rPr>
            </w:pPr>
            <w:r>
              <w:rPr>
                <w:sz w:val="24"/>
              </w:rPr>
              <w:t>L</w:t>
            </w:r>
            <w:r>
              <w:rPr>
                <w:sz w:val="24"/>
                <w:vertAlign w:val="subscript"/>
              </w:rPr>
              <w:t>eqg</w:t>
            </w:r>
            <w:r>
              <w:rPr>
                <w:sz w:val="24"/>
              </w:rPr>
              <w:t>=10lg（(1/T)∑t</w:t>
            </w:r>
            <w:r>
              <w:rPr>
                <w:sz w:val="24"/>
                <w:vertAlign w:val="subscript"/>
              </w:rPr>
              <w:t>i</w:t>
            </w:r>
            <w:r>
              <w:rPr>
                <w:sz w:val="24"/>
              </w:rPr>
              <w:t>10</w:t>
            </w:r>
            <w:r>
              <w:rPr>
                <w:sz w:val="24"/>
                <w:vertAlign w:val="superscript"/>
              </w:rPr>
              <w:t>0.1Lai</w:t>
            </w:r>
            <w:r>
              <w:rPr>
                <w:sz w:val="24"/>
              </w:rPr>
              <w:t>）</w:t>
            </w:r>
          </w:p>
          <w:p>
            <w:pPr>
              <w:adjustRightInd w:val="0"/>
              <w:snapToGrid w:val="0"/>
              <w:spacing w:line="500" w:lineRule="exact"/>
              <w:ind w:firstLine="480" w:firstLineChars="200"/>
              <w:rPr>
                <w:sz w:val="24"/>
              </w:rPr>
            </w:pPr>
            <w:r>
              <w:rPr>
                <w:rFonts w:hint="eastAsia"/>
                <w:sz w:val="24"/>
              </w:rPr>
              <w:t>式中：</w:t>
            </w:r>
          </w:p>
          <w:p>
            <w:pPr>
              <w:adjustRightInd w:val="0"/>
              <w:snapToGrid w:val="0"/>
              <w:spacing w:line="500" w:lineRule="exact"/>
              <w:ind w:firstLine="480" w:firstLineChars="200"/>
              <w:rPr>
                <w:sz w:val="24"/>
              </w:rPr>
            </w:pPr>
            <w:r>
              <w:rPr>
                <w:rFonts w:hint="eastAsia"/>
                <w:sz w:val="24"/>
              </w:rPr>
              <w:t>Leqg——本项目声源在预测点的等效声级的贡献值dB(A)</w:t>
            </w:r>
          </w:p>
          <w:p>
            <w:pPr>
              <w:adjustRightInd w:val="0"/>
              <w:snapToGrid w:val="0"/>
              <w:spacing w:line="500" w:lineRule="exact"/>
              <w:ind w:firstLine="480" w:firstLineChars="200"/>
              <w:rPr>
                <w:sz w:val="24"/>
              </w:rPr>
            </w:pPr>
            <w:r>
              <w:rPr>
                <w:rFonts w:hint="eastAsia"/>
                <w:sz w:val="24"/>
              </w:rPr>
              <w:t>Lai——i声源在预测点产生的A声级dB(A)</w:t>
            </w:r>
          </w:p>
          <w:p>
            <w:pPr>
              <w:adjustRightInd w:val="0"/>
              <w:snapToGrid w:val="0"/>
              <w:spacing w:line="500" w:lineRule="exact"/>
              <w:ind w:firstLine="480" w:firstLineChars="200"/>
              <w:rPr>
                <w:sz w:val="24"/>
              </w:rPr>
            </w:pPr>
            <w:r>
              <w:rPr>
                <w:rFonts w:hint="eastAsia"/>
                <w:sz w:val="24"/>
              </w:rPr>
              <w:t>T——预测计算的时间段s</w:t>
            </w:r>
          </w:p>
          <w:p>
            <w:pPr>
              <w:adjustRightInd w:val="0"/>
              <w:snapToGrid w:val="0"/>
              <w:spacing w:line="500" w:lineRule="exact"/>
              <w:ind w:firstLine="480" w:firstLineChars="200"/>
              <w:rPr>
                <w:sz w:val="24"/>
              </w:rPr>
            </w:pPr>
            <w:r>
              <w:rPr>
                <w:rFonts w:hint="eastAsia"/>
                <w:sz w:val="24"/>
              </w:rPr>
              <w:t>ti——i声源在T时间段内的运行时间s</w:t>
            </w:r>
          </w:p>
          <w:p>
            <w:pPr>
              <w:adjustRightInd w:val="0"/>
              <w:snapToGrid w:val="0"/>
              <w:spacing w:line="500" w:lineRule="exact"/>
              <w:ind w:firstLine="480" w:firstLineChars="200"/>
              <w:rPr>
                <w:sz w:val="24"/>
              </w:rPr>
            </w:pPr>
            <w:r>
              <w:rPr>
                <w:rFonts w:hint="eastAsia"/>
                <w:sz w:val="24"/>
              </w:rPr>
              <w:t>②预测点的预测等效声级按下式计算：</w:t>
            </w:r>
          </w:p>
          <w:p>
            <w:pPr>
              <w:adjustRightInd w:val="0"/>
              <w:snapToGrid w:val="0"/>
              <w:spacing w:line="500" w:lineRule="exact"/>
              <w:ind w:firstLine="480" w:firstLineChars="200"/>
              <w:jc w:val="center"/>
              <w:rPr>
                <w:sz w:val="24"/>
              </w:rPr>
            </w:pPr>
            <w:r>
              <w:rPr>
                <w:sz w:val="24"/>
              </w:rPr>
              <w:t>L</w:t>
            </w:r>
            <w:r>
              <w:rPr>
                <w:sz w:val="24"/>
                <w:vertAlign w:val="subscript"/>
              </w:rPr>
              <w:t>eq</w:t>
            </w:r>
            <w:r>
              <w:rPr>
                <w:sz w:val="24"/>
              </w:rPr>
              <w:t>=10lg(10</w:t>
            </w:r>
            <w:r>
              <w:rPr>
                <w:sz w:val="24"/>
                <w:vertAlign w:val="superscript"/>
              </w:rPr>
              <w:t>0.1Leqg</w:t>
            </w:r>
            <w:r>
              <w:rPr>
                <w:sz w:val="24"/>
              </w:rPr>
              <w:t>+10</w:t>
            </w:r>
            <w:r>
              <w:rPr>
                <w:sz w:val="24"/>
                <w:vertAlign w:val="superscript"/>
              </w:rPr>
              <w:t>0.1Leqb</w:t>
            </w:r>
            <w:r>
              <w:rPr>
                <w:sz w:val="24"/>
              </w:rPr>
              <w:t>)</w:t>
            </w:r>
          </w:p>
          <w:p>
            <w:pPr>
              <w:adjustRightInd w:val="0"/>
              <w:snapToGrid w:val="0"/>
              <w:spacing w:line="500" w:lineRule="exact"/>
              <w:ind w:firstLine="480" w:firstLineChars="200"/>
              <w:rPr>
                <w:sz w:val="24"/>
              </w:rPr>
            </w:pPr>
            <w:r>
              <w:rPr>
                <w:rFonts w:hint="eastAsia"/>
                <w:sz w:val="24"/>
              </w:rPr>
              <w:t>式中：</w:t>
            </w:r>
          </w:p>
          <w:p>
            <w:pPr>
              <w:adjustRightInd w:val="0"/>
              <w:snapToGrid w:val="0"/>
              <w:spacing w:line="500" w:lineRule="exact"/>
              <w:ind w:firstLine="480" w:firstLineChars="200"/>
              <w:rPr>
                <w:sz w:val="24"/>
              </w:rPr>
            </w:pPr>
            <w:r>
              <w:rPr>
                <w:rFonts w:hint="eastAsia"/>
                <w:sz w:val="24"/>
              </w:rPr>
              <w:t>Leqg——本项目声源在预测点的等效声级的贡献值dB(A)</w:t>
            </w:r>
          </w:p>
          <w:p>
            <w:pPr>
              <w:adjustRightInd w:val="0"/>
              <w:snapToGrid w:val="0"/>
              <w:spacing w:line="500" w:lineRule="exact"/>
              <w:ind w:firstLine="480" w:firstLineChars="200"/>
              <w:rPr>
                <w:sz w:val="24"/>
              </w:rPr>
            </w:pPr>
            <w:r>
              <w:rPr>
                <w:rFonts w:hint="eastAsia"/>
                <w:sz w:val="24"/>
              </w:rPr>
              <w:t>Leqb——预测点的背景值dB(A)</w:t>
            </w:r>
          </w:p>
          <w:p>
            <w:pPr>
              <w:pStyle w:val="16"/>
              <w:adjustRightInd w:val="0"/>
              <w:spacing w:before="0" w:after="0" w:line="500" w:lineRule="exact"/>
              <w:ind w:right="0" w:firstLine="480" w:firstLineChars="200"/>
              <w:rPr>
                <w:sz w:val="24"/>
                <w:szCs w:val="24"/>
              </w:rPr>
            </w:pPr>
            <w:r>
              <w:rPr>
                <w:sz w:val="24"/>
                <w:szCs w:val="24"/>
              </w:rPr>
              <w:t>噪声影响预测结果见下表。</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422" w:firstLineChars="200"/>
              <w:jc w:val="center"/>
              <w:textAlignment w:val="auto"/>
              <w:rPr>
                <w:b/>
                <w:szCs w:val="21"/>
              </w:rPr>
            </w:pPr>
            <w:r>
              <w:rPr>
                <w:b/>
                <w:szCs w:val="21"/>
              </w:rPr>
              <w:t>表</w:t>
            </w:r>
            <w:r>
              <w:rPr>
                <w:rFonts w:hint="eastAsia"/>
                <w:b/>
                <w:szCs w:val="21"/>
              </w:rPr>
              <w:t>4-12</w:t>
            </w:r>
            <w:r>
              <w:rPr>
                <w:b/>
                <w:szCs w:val="21"/>
              </w:rPr>
              <w:t>项目厂界</w:t>
            </w:r>
            <w:r>
              <w:rPr>
                <w:rFonts w:hint="eastAsia"/>
                <w:b/>
                <w:szCs w:val="21"/>
                <w:lang w:val="en-US" w:eastAsia="zh-CN"/>
              </w:rPr>
              <w:t>昼间</w:t>
            </w:r>
            <w:r>
              <w:rPr>
                <w:b/>
                <w:szCs w:val="21"/>
              </w:rPr>
              <w:t>噪声预测结果</w:t>
            </w:r>
            <w:r>
              <w:rPr>
                <w:b/>
                <w:szCs w:val="21"/>
              </w:rPr>
              <w:tab/>
            </w:r>
            <w:r>
              <w:rPr>
                <w:b/>
                <w:szCs w:val="21"/>
              </w:rPr>
              <w:t>单位：dB(A)</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1"/>
              <w:gridCol w:w="952"/>
              <w:gridCol w:w="952"/>
              <w:gridCol w:w="952"/>
              <w:gridCol w:w="952"/>
              <w:gridCol w:w="952"/>
              <w:gridCol w:w="952"/>
              <w:gridCol w:w="953"/>
              <w:gridCol w:w="9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60" w:type="dxa"/>
                  <w:tcBorders>
                    <w:tl2br w:val="nil"/>
                    <w:tr2bl w:val="nil"/>
                  </w:tcBorders>
                  <w:vAlign w:val="center"/>
                </w:tcPr>
                <w:p>
                  <w:pPr>
                    <w:pStyle w:val="2"/>
                    <w:jc w:val="center"/>
                    <w:rPr>
                      <w:rFonts w:hint="default" w:ascii="Times New Roman" w:hAnsi="Times New Roman" w:eastAsia="宋体" w:cs="Times New Roman"/>
                      <w:b/>
                      <w:bCs/>
                      <w:szCs w:val="21"/>
                      <w:vertAlign w:val="baseline"/>
                      <w:lang w:val="en-US" w:eastAsia="zh-CN"/>
                    </w:rPr>
                  </w:pPr>
                  <w:r>
                    <w:rPr>
                      <w:rFonts w:hint="default" w:ascii="Times New Roman" w:hAnsi="Times New Roman" w:eastAsia="宋体" w:cs="Times New Roman"/>
                      <w:b/>
                      <w:bCs/>
                      <w:szCs w:val="21"/>
                      <w:vertAlign w:val="baseline"/>
                      <w:lang w:val="en-US" w:eastAsia="zh-CN"/>
                    </w:rPr>
                    <w:t>序号</w:t>
                  </w:r>
                </w:p>
              </w:tc>
              <w:tc>
                <w:tcPr>
                  <w:tcW w:w="1161" w:type="dxa"/>
                  <w:tcBorders>
                    <w:tl2br w:val="nil"/>
                    <w:tr2bl w:val="nil"/>
                  </w:tcBorders>
                  <w:vAlign w:val="center"/>
                </w:tcPr>
                <w:p>
                  <w:pPr>
                    <w:pStyle w:val="2"/>
                    <w:jc w:val="center"/>
                    <w:rPr>
                      <w:rFonts w:hint="default" w:ascii="Times New Roman" w:hAnsi="Times New Roman" w:eastAsia="宋体" w:cs="Times New Roman"/>
                      <w:b/>
                      <w:bCs/>
                      <w:szCs w:val="21"/>
                      <w:vertAlign w:val="baseline"/>
                      <w:lang w:val="en-US" w:eastAsia="zh-CN"/>
                    </w:rPr>
                  </w:pPr>
                  <w:r>
                    <w:rPr>
                      <w:rFonts w:hint="default" w:ascii="Times New Roman" w:hAnsi="Times New Roman" w:eastAsia="宋体" w:cs="Times New Roman"/>
                      <w:b/>
                      <w:bCs/>
                      <w:szCs w:val="21"/>
                      <w:vertAlign w:val="baseline"/>
                      <w:lang w:val="en-US" w:eastAsia="zh-CN"/>
                    </w:rPr>
                    <w:t>位置</w:t>
                  </w:r>
                </w:p>
              </w:tc>
              <w:tc>
                <w:tcPr>
                  <w:tcW w:w="1162" w:type="dxa"/>
                  <w:tcBorders>
                    <w:tl2br w:val="nil"/>
                    <w:tr2bl w:val="nil"/>
                  </w:tcBorders>
                  <w:vAlign w:val="center"/>
                </w:tcPr>
                <w:p>
                  <w:pPr>
                    <w:pStyle w:val="2"/>
                    <w:jc w:val="center"/>
                    <w:rPr>
                      <w:rFonts w:hint="default" w:ascii="Times New Roman" w:hAnsi="Times New Roman" w:eastAsia="宋体" w:cs="Times New Roman"/>
                      <w:b/>
                      <w:bCs/>
                      <w:szCs w:val="21"/>
                      <w:vertAlign w:val="baseline"/>
                      <w:lang w:val="en-US" w:eastAsia="zh-CN"/>
                    </w:rPr>
                  </w:pPr>
                  <w:r>
                    <w:rPr>
                      <w:rFonts w:hint="default" w:ascii="Times New Roman" w:hAnsi="Times New Roman" w:eastAsia="宋体" w:cs="Times New Roman"/>
                      <w:b/>
                      <w:bCs/>
                      <w:szCs w:val="21"/>
                      <w:vertAlign w:val="baseline"/>
                      <w:lang w:val="en-US" w:eastAsia="zh-CN"/>
                    </w:rPr>
                    <w:t>噪声背景值</w:t>
                  </w:r>
                </w:p>
              </w:tc>
              <w:tc>
                <w:tcPr>
                  <w:tcW w:w="1162" w:type="dxa"/>
                  <w:tcBorders>
                    <w:tl2br w:val="nil"/>
                    <w:tr2bl w:val="nil"/>
                  </w:tcBorders>
                  <w:vAlign w:val="center"/>
                </w:tcPr>
                <w:p>
                  <w:pPr>
                    <w:pStyle w:val="2"/>
                    <w:jc w:val="center"/>
                    <w:rPr>
                      <w:rFonts w:hint="default" w:ascii="Times New Roman" w:hAnsi="Times New Roman" w:eastAsia="宋体" w:cs="Times New Roman"/>
                      <w:b/>
                      <w:bCs/>
                      <w:szCs w:val="21"/>
                      <w:vertAlign w:val="baseline"/>
                    </w:rPr>
                  </w:pPr>
                  <w:r>
                    <w:rPr>
                      <w:rFonts w:hint="default" w:ascii="Times New Roman" w:hAnsi="Times New Roman" w:eastAsia="宋体" w:cs="Times New Roman"/>
                      <w:b/>
                      <w:bCs/>
                      <w:szCs w:val="21"/>
                      <w:vertAlign w:val="baseline"/>
                      <w:lang w:val="en-US" w:eastAsia="zh-CN"/>
                    </w:rPr>
                    <w:t>噪声现状值</w:t>
                  </w:r>
                </w:p>
              </w:tc>
              <w:tc>
                <w:tcPr>
                  <w:tcW w:w="1162" w:type="dxa"/>
                  <w:tcBorders>
                    <w:tl2br w:val="nil"/>
                    <w:tr2bl w:val="nil"/>
                  </w:tcBorders>
                  <w:vAlign w:val="center"/>
                </w:tcPr>
                <w:p>
                  <w:pPr>
                    <w:pStyle w:val="2"/>
                    <w:jc w:val="center"/>
                    <w:rPr>
                      <w:rFonts w:hint="default" w:ascii="Times New Roman" w:hAnsi="Times New Roman" w:eastAsia="宋体" w:cs="Times New Roman"/>
                      <w:b/>
                      <w:bCs/>
                      <w:szCs w:val="21"/>
                      <w:vertAlign w:val="baseline"/>
                      <w:lang w:val="en-US" w:eastAsia="zh-CN"/>
                    </w:rPr>
                  </w:pPr>
                  <w:r>
                    <w:rPr>
                      <w:rFonts w:hint="default" w:ascii="Times New Roman" w:hAnsi="Times New Roman" w:eastAsia="宋体" w:cs="Times New Roman"/>
                      <w:b/>
                      <w:bCs/>
                      <w:szCs w:val="21"/>
                      <w:vertAlign w:val="baseline"/>
                      <w:lang w:val="en-US" w:eastAsia="zh-CN"/>
                    </w:rPr>
                    <w:t>噪声标准</w:t>
                  </w:r>
                </w:p>
              </w:tc>
              <w:tc>
                <w:tcPr>
                  <w:tcW w:w="1162" w:type="dxa"/>
                  <w:tcBorders>
                    <w:tl2br w:val="nil"/>
                    <w:tr2bl w:val="nil"/>
                  </w:tcBorders>
                  <w:vAlign w:val="center"/>
                </w:tcPr>
                <w:p>
                  <w:pPr>
                    <w:pStyle w:val="2"/>
                    <w:jc w:val="center"/>
                    <w:rPr>
                      <w:rFonts w:hint="default" w:ascii="Times New Roman" w:hAnsi="Times New Roman" w:eastAsia="宋体" w:cs="Times New Roman"/>
                      <w:b/>
                      <w:bCs/>
                      <w:szCs w:val="21"/>
                      <w:vertAlign w:val="baseline"/>
                      <w:lang w:val="en-US" w:eastAsia="zh-CN"/>
                    </w:rPr>
                  </w:pPr>
                  <w:r>
                    <w:rPr>
                      <w:rFonts w:hint="default" w:ascii="Times New Roman" w:hAnsi="Times New Roman" w:eastAsia="宋体" w:cs="Times New Roman"/>
                      <w:b/>
                      <w:bCs/>
                      <w:szCs w:val="21"/>
                      <w:vertAlign w:val="baseline"/>
                      <w:lang w:val="en-US" w:eastAsia="zh-CN"/>
                    </w:rPr>
                    <w:t>噪声贡献值</w:t>
                  </w:r>
                </w:p>
              </w:tc>
              <w:tc>
                <w:tcPr>
                  <w:tcW w:w="1162" w:type="dxa"/>
                  <w:tcBorders>
                    <w:tl2br w:val="nil"/>
                    <w:tr2bl w:val="nil"/>
                  </w:tcBorders>
                  <w:vAlign w:val="center"/>
                </w:tcPr>
                <w:p>
                  <w:pPr>
                    <w:pStyle w:val="2"/>
                    <w:jc w:val="center"/>
                    <w:rPr>
                      <w:rFonts w:hint="default" w:ascii="Times New Roman" w:hAnsi="Times New Roman" w:eastAsia="宋体" w:cs="Times New Roman"/>
                      <w:b/>
                      <w:bCs/>
                      <w:szCs w:val="21"/>
                      <w:vertAlign w:val="baseline"/>
                      <w:lang w:val="en-US" w:eastAsia="zh-CN"/>
                    </w:rPr>
                  </w:pPr>
                  <w:r>
                    <w:rPr>
                      <w:rFonts w:hint="default" w:ascii="Times New Roman" w:hAnsi="Times New Roman" w:eastAsia="宋体" w:cs="Times New Roman"/>
                      <w:b/>
                      <w:bCs/>
                      <w:szCs w:val="21"/>
                      <w:vertAlign w:val="baseline"/>
                      <w:lang w:val="en-US" w:eastAsia="zh-CN"/>
                    </w:rPr>
                    <w:t>噪声预测值</w:t>
                  </w:r>
                </w:p>
              </w:tc>
              <w:tc>
                <w:tcPr>
                  <w:tcW w:w="1162" w:type="dxa"/>
                  <w:tcBorders>
                    <w:tl2br w:val="nil"/>
                    <w:tr2bl w:val="nil"/>
                  </w:tcBorders>
                  <w:vAlign w:val="center"/>
                </w:tcPr>
                <w:p>
                  <w:pPr>
                    <w:pStyle w:val="2"/>
                    <w:jc w:val="center"/>
                    <w:rPr>
                      <w:rFonts w:hint="default" w:ascii="Times New Roman" w:hAnsi="Times New Roman" w:eastAsia="宋体" w:cs="Times New Roman"/>
                      <w:b/>
                      <w:bCs/>
                      <w:szCs w:val="21"/>
                      <w:vertAlign w:val="baseline"/>
                      <w:lang w:val="en-US" w:eastAsia="zh-CN"/>
                    </w:rPr>
                  </w:pPr>
                  <w:r>
                    <w:rPr>
                      <w:rFonts w:hint="default" w:ascii="Times New Roman" w:hAnsi="Times New Roman" w:eastAsia="宋体" w:cs="Times New Roman"/>
                      <w:b/>
                      <w:bCs/>
                      <w:szCs w:val="21"/>
                      <w:vertAlign w:val="baseline"/>
                      <w:lang w:val="en-US" w:eastAsia="zh-CN"/>
                    </w:rPr>
                    <w:t>较现状增量</w:t>
                  </w:r>
                </w:p>
              </w:tc>
              <w:tc>
                <w:tcPr>
                  <w:tcW w:w="1162" w:type="dxa"/>
                  <w:tcBorders>
                    <w:tl2br w:val="nil"/>
                    <w:tr2bl w:val="nil"/>
                  </w:tcBorders>
                  <w:vAlign w:val="center"/>
                </w:tcPr>
                <w:p>
                  <w:pPr>
                    <w:pStyle w:val="2"/>
                    <w:jc w:val="center"/>
                    <w:rPr>
                      <w:rFonts w:hint="default" w:ascii="Times New Roman" w:hAnsi="Times New Roman" w:eastAsia="宋体" w:cs="Times New Roman"/>
                      <w:b/>
                      <w:bCs/>
                      <w:szCs w:val="21"/>
                      <w:vertAlign w:val="baseline"/>
                      <w:lang w:val="en-US" w:eastAsia="zh-CN"/>
                    </w:rPr>
                  </w:pPr>
                  <w:r>
                    <w:rPr>
                      <w:rFonts w:hint="default" w:ascii="Times New Roman" w:hAnsi="Times New Roman" w:eastAsia="宋体" w:cs="Times New Roman"/>
                      <w:b/>
                      <w:bCs/>
                      <w:szCs w:val="21"/>
                      <w:vertAlign w:val="baseline"/>
                      <w:lang w:val="en-US" w:eastAsia="zh-CN"/>
                    </w:rPr>
                    <w:t>超标和达标情况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60"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1</w:t>
                  </w:r>
                </w:p>
              </w:tc>
              <w:tc>
                <w:tcPr>
                  <w:tcW w:w="1161"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bCs w:val="0"/>
                      <w:szCs w:val="21"/>
                    </w:rPr>
                    <w:t>东厂界</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60.0</w:t>
                  </w:r>
                </w:p>
              </w:tc>
              <w:tc>
                <w:tcPr>
                  <w:tcW w:w="1162" w:type="dxa"/>
                  <w:tcBorders>
                    <w:tl2br w:val="nil"/>
                    <w:tr2bl w:val="nil"/>
                  </w:tcBorders>
                  <w:vAlign w:val="center"/>
                </w:tcPr>
                <w:p>
                  <w:pPr>
                    <w:pStyle w:val="2"/>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vertAlign w:val="baseline"/>
                      <w:lang w:val="en-US" w:eastAsia="zh-CN"/>
                    </w:rPr>
                    <w:t>60.0</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65</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szCs w:val="21"/>
                      <w:lang w:bidi="ar-SA"/>
                    </w:rPr>
                    <w:t>38.8</w:t>
                  </w:r>
                </w:p>
              </w:tc>
              <w:tc>
                <w:tcPr>
                  <w:tcW w:w="1162" w:type="dxa"/>
                  <w:tcBorders>
                    <w:tl2br w:val="nil"/>
                    <w:tr2bl w:val="nil"/>
                  </w:tcBorders>
                  <w:vAlign w:val="center"/>
                </w:tcPr>
                <w:p>
                  <w:pPr>
                    <w:pStyle w:val="2"/>
                    <w:jc w:val="center"/>
                    <w:rPr>
                      <w:rFonts w:hint="default" w:ascii="Times New Roman" w:hAnsi="Times New Roman" w:eastAsia="宋体" w:cs="Times New Roman"/>
                      <w:szCs w:val="21"/>
                      <w:lang w:eastAsia="zh-CN" w:bidi="ar-SA"/>
                    </w:rPr>
                  </w:pPr>
                  <w:r>
                    <w:rPr>
                      <w:rFonts w:hint="default" w:ascii="Times New Roman" w:hAnsi="Times New Roman" w:eastAsia="宋体" w:cs="Times New Roman"/>
                      <w:kern w:val="2"/>
                      <w:sz w:val="21"/>
                      <w:szCs w:val="21"/>
                      <w:lang w:bidi="ar-SA"/>
                    </w:rPr>
                    <w:t>60.</w:t>
                  </w:r>
                  <w:r>
                    <w:rPr>
                      <w:rFonts w:hint="default" w:ascii="Times New Roman" w:hAnsi="Times New Roman" w:eastAsia="宋体" w:cs="Times New Roman"/>
                      <w:kern w:val="2"/>
                      <w:sz w:val="21"/>
                      <w:szCs w:val="21"/>
                      <w:lang w:val="en-US" w:eastAsia="zh-CN" w:bidi="ar-SA"/>
                    </w:rPr>
                    <w:t>0</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0</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60"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2</w:t>
                  </w:r>
                </w:p>
              </w:tc>
              <w:tc>
                <w:tcPr>
                  <w:tcW w:w="1161"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bCs w:val="0"/>
                      <w:szCs w:val="21"/>
                    </w:rPr>
                    <w:t>南厂界</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59.0</w:t>
                  </w:r>
                </w:p>
              </w:tc>
              <w:tc>
                <w:tcPr>
                  <w:tcW w:w="1162" w:type="dxa"/>
                  <w:tcBorders>
                    <w:tl2br w:val="nil"/>
                    <w:tr2bl w:val="nil"/>
                  </w:tcBorders>
                  <w:vAlign w:val="center"/>
                </w:tcPr>
                <w:p>
                  <w:pPr>
                    <w:pStyle w:val="2"/>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vertAlign w:val="baseline"/>
                      <w:lang w:val="en-US" w:eastAsia="zh-CN"/>
                    </w:rPr>
                    <w:t>59.0</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65</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szCs w:val="21"/>
                      <w:lang w:bidi="ar-SA"/>
                    </w:rPr>
                    <w:t>35.0</w:t>
                  </w:r>
                </w:p>
              </w:tc>
              <w:tc>
                <w:tcPr>
                  <w:tcW w:w="1162" w:type="dxa"/>
                  <w:tcBorders>
                    <w:tl2br w:val="nil"/>
                    <w:tr2bl w:val="nil"/>
                  </w:tcBorders>
                  <w:vAlign w:val="center"/>
                </w:tcPr>
                <w:p>
                  <w:pPr>
                    <w:pStyle w:val="2"/>
                    <w:jc w:val="center"/>
                    <w:rPr>
                      <w:rFonts w:hint="default" w:ascii="Times New Roman" w:hAnsi="Times New Roman" w:eastAsia="宋体" w:cs="Times New Roman"/>
                      <w:szCs w:val="21"/>
                      <w:lang w:bidi="ar-SA"/>
                    </w:rPr>
                  </w:pPr>
                  <w:r>
                    <w:rPr>
                      <w:rFonts w:hint="default" w:ascii="Times New Roman" w:hAnsi="Times New Roman" w:eastAsia="宋体" w:cs="Times New Roman"/>
                      <w:kern w:val="2"/>
                      <w:sz w:val="21"/>
                      <w:szCs w:val="21"/>
                      <w:lang w:bidi="ar-SA"/>
                    </w:rPr>
                    <w:t>59.0</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0</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szCs w:val="21"/>
                      <w:vertAlign w:val="baseli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60"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3</w:t>
                  </w:r>
                </w:p>
              </w:tc>
              <w:tc>
                <w:tcPr>
                  <w:tcW w:w="1161"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bCs w:val="0"/>
                      <w:szCs w:val="21"/>
                    </w:rPr>
                    <w:t>西厂界</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szCs w:val="21"/>
                      <w:vertAlign w:val="baseline"/>
                      <w:lang w:val="en-US" w:eastAsia="zh-CN"/>
                    </w:rPr>
                    <w:t>60.0</w:t>
                  </w:r>
                </w:p>
              </w:tc>
              <w:tc>
                <w:tcPr>
                  <w:tcW w:w="1162" w:type="dxa"/>
                  <w:tcBorders>
                    <w:tl2br w:val="nil"/>
                    <w:tr2bl w:val="nil"/>
                  </w:tcBorders>
                  <w:vAlign w:val="center"/>
                </w:tcPr>
                <w:p>
                  <w:pPr>
                    <w:pStyle w:val="2"/>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vertAlign w:val="baseline"/>
                      <w:lang w:val="en-US" w:eastAsia="zh-CN"/>
                    </w:rPr>
                    <w:t>60.0</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65</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szCs w:val="21"/>
                      <w:lang w:bidi="ar-SA"/>
                    </w:rPr>
                    <w:t>50.5</w:t>
                  </w:r>
                </w:p>
              </w:tc>
              <w:tc>
                <w:tcPr>
                  <w:tcW w:w="1162" w:type="dxa"/>
                  <w:tcBorders>
                    <w:tl2br w:val="nil"/>
                    <w:tr2bl w:val="nil"/>
                  </w:tcBorders>
                  <w:vAlign w:val="center"/>
                </w:tcPr>
                <w:p>
                  <w:pPr>
                    <w:pStyle w:val="2"/>
                    <w:jc w:val="center"/>
                    <w:rPr>
                      <w:rFonts w:hint="default" w:ascii="Times New Roman" w:hAnsi="Times New Roman" w:eastAsia="宋体" w:cs="Times New Roman"/>
                      <w:szCs w:val="21"/>
                      <w:lang w:eastAsia="zh-CN" w:bidi="ar-SA"/>
                    </w:rPr>
                  </w:pPr>
                  <w:r>
                    <w:rPr>
                      <w:rFonts w:hint="default" w:ascii="Times New Roman" w:hAnsi="Times New Roman" w:eastAsia="宋体" w:cs="Times New Roman"/>
                      <w:kern w:val="2"/>
                      <w:sz w:val="21"/>
                      <w:szCs w:val="21"/>
                      <w:lang w:bidi="ar-SA"/>
                    </w:rPr>
                    <w:t>60.</w:t>
                  </w:r>
                  <w:r>
                    <w:rPr>
                      <w:rFonts w:hint="default" w:ascii="Times New Roman" w:hAnsi="Times New Roman" w:eastAsia="宋体" w:cs="Times New Roman"/>
                      <w:kern w:val="2"/>
                      <w:sz w:val="21"/>
                      <w:szCs w:val="21"/>
                      <w:lang w:val="en-US" w:eastAsia="zh-CN" w:bidi="ar-SA"/>
                    </w:rPr>
                    <w:t>5</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0.5</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szCs w:val="21"/>
                      <w:vertAlign w:val="baseli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60"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4</w:t>
                  </w:r>
                </w:p>
              </w:tc>
              <w:tc>
                <w:tcPr>
                  <w:tcW w:w="1161"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bCs w:val="0"/>
                      <w:szCs w:val="21"/>
                    </w:rPr>
                    <w:t>北厂界</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szCs w:val="21"/>
                      <w:vertAlign w:val="baseline"/>
                      <w:lang w:val="en-US" w:eastAsia="zh-CN"/>
                    </w:rPr>
                    <w:t>60.0</w:t>
                  </w:r>
                </w:p>
              </w:tc>
              <w:tc>
                <w:tcPr>
                  <w:tcW w:w="1162" w:type="dxa"/>
                  <w:tcBorders>
                    <w:tl2br w:val="nil"/>
                    <w:tr2bl w:val="nil"/>
                  </w:tcBorders>
                  <w:vAlign w:val="center"/>
                </w:tcPr>
                <w:p>
                  <w:pPr>
                    <w:pStyle w:val="2"/>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vertAlign w:val="baseline"/>
                      <w:lang w:val="en-US" w:eastAsia="zh-CN"/>
                    </w:rPr>
                    <w:t>60.0</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65</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szCs w:val="21"/>
                      <w:lang w:bidi="ar-SA"/>
                    </w:rPr>
                    <w:t>47.2</w:t>
                  </w:r>
                </w:p>
              </w:tc>
              <w:tc>
                <w:tcPr>
                  <w:tcW w:w="1162" w:type="dxa"/>
                  <w:tcBorders>
                    <w:tl2br w:val="nil"/>
                    <w:tr2bl w:val="nil"/>
                  </w:tcBorders>
                  <w:vAlign w:val="center"/>
                </w:tcPr>
                <w:p>
                  <w:pPr>
                    <w:pStyle w:val="2"/>
                    <w:jc w:val="center"/>
                    <w:rPr>
                      <w:rFonts w:hint="default" w:ascii="Times New Roman" w:hAnsi="Times New Roman" w:eastAsia="宋体" w:cs="Times New Roman"/>
                      <w:szCs w:val="21"/>
                      <w:lang w:bidi="ar-SA"/>
                    </w:rPr>
                  </w:pPr>
                  <w:r>
                    <w:rPr>
                      <w:rFonts w:hint="default" w:ascii="Times New Roman" w:hAnsi="Times New Roman" w:eastAsia="宋体" w:cs="Times New Roman"/>
                      <w:kern w:val="2"/>
                      <w:sz w:val="21"/>
                      <w:szCs w:val="21"/>
                      <w:lang w:bidi="ar-SA"/>
                    </w:rPr>
                    <w:t>60.2</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lang w:val="en-US" w:eastAsia="zh-CN"/>
                    </w:rPr>
                  </w:pPr>
                  <w:r>
                    <w:rPr>
                      <w:rFonts w:hint="default" w:ascii="Times New Roman" w:hAnsi="Times New Roman" w:eastAsia="宋体" w:cs="Times New Roman"/>
                      <w:szCs w:val="21"/>
                      <w:vertAlign w:val="baseline"/>
                      <w:lang w:val="en-US" w:eastAsia="zh-CN"/>
                    </w:rPr>
                    <w:t>0.2</w:t>
                  </w:r>
                </w:p>
              </w:tc>
              <w:tc>
                <w:tcPr>
                  <w:tcW w:w="1162" w:type="dxa"/>
                  <w:tcBorders>
                    <w:tl2br w:val="nil"/>
                    <w:tr2bl w:val="nil"/>
                  </w:tcBorders>
                  <w:vAlign w:val="center"/>
                </w:tcPr>
                <w:p>
                  <w:pPr>
                    <w:pStyle w:val="2"/>
                    <w:jc w:val="center"/>
                    <w:rPr>
                      <w:rFonts w:hint="default" w:ascii="Times New Roman" w:hAnsi="Times New Roman" w:eastAsia="宋体" w:cs="Times New Roman"/>
                      <w:szCs w:val="21"/>
                      <w:vertAlign w:val="baseline"/>
                    </w:rPr>
                  </w:pPr>
                  <w:r>
                    <w:rPr>
                      <w:rFonts w:hint="default" w:ascii="Times New Roman" w:hAnsi="Times New Roman" w:eastAsia="宋体" w:cs="Times New Roman"/>
                      <w:szCs w:val="21"/>
                      <w:vertAlign w:val="baseline"/>
                      <w:lang w:val="en-US" w:eastAsia="zh-CN"/>
                    </w:rPr>
                    <w:t>达标</w:t>
                  </w:r>
                </w:p>
              </w:tc>
            </w:tr>
          </w:tbl>
          <w:p>
            <w:pPr>
              <w:pStyle w:val="60"/>
              <w:spacing w:line="500" w:lineRule="exact"/>
              <w:ind w:firstLine="456" w:firstLineChars="200"/>
              <w:rPr>
                <w:rFonts w:ascii="Times New Roman" w:hAnsi="Times New Roman"/>
                <w:sz w:val="24"/>
              </w:rPr>
            </w:pPr>
            <w:r>
              <w:rPr>
                <w:rFonts w:ascii="Times New Roman" w:hAnsi="Times New Roman"/>
                <w:spacing w:val="-6"/>
                <w:sz w:val="24"/>
              </w:rPr>
              <w:t>综上，落实好噪声防治措施后，可将本项目噪声影响降到最低，根据预测，厂界噪</w:t>
            </w:r>
            <w:r>
              <w:rPr>
                <w:rFonts w:ascii="Times New Roman" w:hAnsi="Times New Roman"/>
                <w:spacing w:val="-14"/>
                <w:sz w:val="24"/>
              </w:rPr>
              <w:t>声可以满足《工业企业厂界环境噪声排放标准》</w:t>
            </w:r>
            <w:r>
              <w:rPr>
                <w:rFonts w:ascii="Times New Roman" w:hAnsi="Times New Roman"/>
                <w:spacing w:val="-5"/>
                <w:sz w:val="24"/>
              </w:rPr>
              <w:t>（GB12348-2008）</w:t>
            </w:r>
            <w:r>
              <w:rPr>
                <w:rFonts w:ascii="Times New Roman" w:hAnsi="Times New Roman"/>
                <w:spacing w:val="-31"/>
                <w:sz w:val="24"/>
              </w:rPr>
              <w:t>表</w:t>
            </w:r>
            <w:r>
              <w:rPr>
                <w:rFonts w:ascii="Times New Roman" w:hAnsi="Times New Roman"/>
                <w:sz w:val="24"/>
              </w:rPr>
              <w:t>1</w:t>
            </w:r>
            <w:r>
              <w:rPr>
                <w:rFonts w:ascii="Times New Roman" w:hAnsi="Times New Roman"/>
                <w:spacing w:val="-30"/>
                <w:sz w:val="24"/>
              </w:rPr>
              <w:t>中</w:t>
            </w:r>
            <w:r>
              <w:rPr>
                <w:rFonts w:hint="eastAsia" w:ascii="Times New Roman" w:hAnsi="Times New Roman"/>
                <w:spacing w:val="-30"/>
                <w:sz w:val="24"/>
                <w:lang w:val="en-US"/>
              </w:rPr>
              <w:t>3</w:t>
            </w:r>
            <w:r>
              <w:rPr>
                <w:rFonts w:ascii="Times New Roman" w:hAnsi="Times New Roman"/>
                <w:sz w:val="24"/>
              </w:rPr>
              <w:t>类标准要求，不会降低区域声环境功能，环境影响可以接受。</w:t>
            </w:r>
          </w:p>
          <w:p>
            <w:pPr>
              <w:pStyle w:val="60"/>
              <w:spacing w:line="500" w:lineRule="exact"/>
              <w:ind w:firstLine="480" w:firstLineChars="200"/>
              <w:rPr>
                <w:rFonts w:ascii="Times New Roman" w:hAnsi="Times New Roman" w:cs="Times New Roman"/>
                <w:sz w:val="24"/>
              </w:rPr>
            </w:pPr>
            <w:r>
              <w:rPr>
                <w:rFonts w:ascii="Times New Roman" w:hAnsi="Times New Roman" w:cs="Times New Roman"/>
                <w:sz w:val="24"/>
              </w:rPr>
              <w:t>根据《排污单位自行监测技术指南总则》（HJ819-2017）要求，对建设项目厂界噪声定期进行监测，每季度开展一次。</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szCs w:val="21"/>
              </w:rPr>
            </w:pPr>
            <w:r>
              <w:rPr>
                <w:b/>
                <w:szCs w:val="21"/>
              </w:rPr>
              <w:t>表4-</w:t>
            </w:r>
            <w:r>
              <w:rPr>
                <w:rFonts w:hint="eastAsia"/>
                <w:b/>
                <w:szCs w:val="21"/>
              </w:rPr>
              <w:t>13</w:t>
            </w:r>
            <w:r>
              <w:rPr>
                <w:b/>
                <w:szCs w:val="21"/>
              </w:rPr>
              <w:t>噪声污染源监测计划</w:t>
            </w:r>
          </w:p>
          <w:tbl>
            <w:tblPr>
              <w:tblStyle w:val="34"/>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126"/>
              <w:gridCol w:w="2268"/>
              <w:gridCol w:w="1543"/>
              <w:gridCol w:w="19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1" w:type="pct"/>
                  <w:tcBorders>
                    <w:tl2br w:val="nil"/>
                    <w:tr2bl w:val="nil"/>
                  </w:tcBorders>
                  <w:vAlign w:val="center"/>
                </w:tcPr>
                <w:p>
                  <w:pPr>
                    <w:pStyle w:val="70"/>
                    <w:rPr>
                      <w:rFonts w:eastAsia="宋体"/>
                      <w:b/>
                      <w:bCs/>
                      <w:sz w:val="21"/>
                      <w:szCs w:val="21"/>
                    </w:rPr>
                  </w:pPr>
                  <w:r>
                    <w:rPr>
                      <w:rFonts w:eastAsia="宋体"/>
                      <w:b/>
                      <w:bCs/>
                      <w:sz w:val="21"/>
                      <w:szCs w:val="21"/>
                    </w:rPr>
                    <w:t>监测类型</w:t>
                  </w:r>
                </w:p>
              </w:tc>
              <w:tc>
                <w:tcPr>
                  <w:tcW w:w="657" w:type="pct"/>
                  <w:tcBorders>
                    <w:tl2br w:val="nil"/>
                    <w:tr2bl w:val="nil"/>
                  </w:tcBorders>
                  <w:vAlign w:val="center"/>
                </w:tcPr>
                <w:p>
                  <w:pPr>
                    <w:pStyle w:val="70"/>
                    <w:rPr>
                      <w:rFonts w:eastAsia="宋体"/>
                      <w:b/>
                      <w:bCs/>
                      <w:sz w:val="21"/>
                      <w:szCs w:val="21"/>
                    </w:rPr>
                  </w:pPr>
                  <w:r>
                    <w:rPr>
                      <w:rFonts w:eastAsia="宋体"/>
                      <w:b/>
                      <w:bCs/>
                      <w:sz w:val="21"/>
                      <w:szCs w:val="21"/>
                    </w:rPr>
                    <w:t>监测种类</w:t>
                  </w:r>
                </w:p>
              </w:tc>
              <w:tc>
                <w:tcPr>
                  <w:tcW w:w="1324" w:type="pct"/>
                  <w:tcBorders>
                    <w:tl2br w:val="nil"/>
                    <w:tr2bl w:val="nil"/>
                  </w:tcBorders>
                  <w:vAlign w:val="center"/>
                </w:tcPr>
                <w:p>
                  <w:pPr>
                    <w:pStyle w:val="70"/>
                    <w:rPr>
                      <w:rFonts w:eastAsia="宋体"/>
                      <w:b/>
                      <w:bCs/>
                      <w:sz w:val="21"/>
                      <w:szCs w:val="21"/>
                    </w:rPr>
                  </w:pPr>
                  <w:r>
                    <w:rPr>
                      <w:rFonts w:eastAsia="宋体"/>
                      <w:b/>
                      <w:bCs/>
                      <w:sz w:val="21"/>
                      <w:szCs w:val="21"/>
                    </w:rPr>
                    <w:t>监测点位</w:t>
                  </w:r>
                </w:p>
              </w:tc>
              <w:tc>
                <w:tcPr>
                  <w:tcW w:w="901" w:type="pct"/>
                  <w:tcBorders>
                    <w:tl2br w:val="nil"/>
                    <w:tr2bl w:val="nil"/>
                  </w:tcBorders>
                  <w:vAlign w:val="center"/>
                </w:tcPr>
                <w:p>
                  <w:pPr>
                    <w:pStyle w:val="70"/>
                    <w:rPr>
                      <w:rFonts w:eastAsia="宋体"/>
                      <w:b/>
                      <w:bCs/>
                      <w:sz w:val="21"/>
                      <w:szCs w:val="21"/>
                    </w:rPr>
                  </w:pPr>
                  <w:r>
                    <w:rPr>
                      <w:rFonts w:eastAsia="宋体"/>
                      <w:b/>
                      <w:bCs/>
                      <w:sz w:val="21"/>
                      <w:szCs w:val="21"/>
                    </w:rPr>
                    <w:t>监测因子</w:t>
                  </w:r>
                </w:p>
              </w:tc>
              <w:tc>
                <w:tcPr>
                  <w:tcW w:w="1155" w:type="pct"/>
                  <w:tcBorders>
                    <w:tl2br w:val="nil"/>
                    <w:tr2bl w:val="nil"/>
                  </w:tcBorders>
                  <w:vAlign w:val="center"/>
                </w:tcPr>
                <w:p>
                  <w:pPr>
                    <w:pStyle w:val="70"/>
                    <w:rPr>
                      <w:rFonts w:eastAsia="宋体"/>
                      <w:b/>
                      <w:bCs/>
                      <w:sz w:val="21"/>
                      <w:szCs w:val="21"/>
                    </w:rPr>
                  </w:pPr>
                  <w:r>
                    <w:rPr>
                      <w:rFonts w:eastAsia="宋体"/>
                      <w:b/>
                      <w:bCs/>
                      <w:sz w:val="21"/>
                      <w:szCs w:val="21"/>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1" w:type="pct"/>
                  <w:tcBorders>
                    <w:tl2br w:val="nil"/>
                    <w:tr2bl w:val="nil"/>
                  </w:tcBorders>
                  <w:vAlign w:val="center"/>
                </w:tcPr>
                <w:p>
                  <w:pPr>
                    <w:pStyle w:val="70"/>
                    <w:rPr>
                      <w:rFonts w:eastAsia="宋体"/>
                      <w:sz w:val="21"/>
                      <w:szCs w:val="21"/>
                    </w:rPr>
                  </w:pPr>
                  <w:r>
                    <w:rPr>
                      <w:rFonts w:eastAsia="宋体"/>
                      <w:sz w:val="21"/>
                      <w:szCs w:val="21"/>
                    </w:rPr>
                    <w:t>污染源监测</w:t>
                  </w:r>
                </w:p>
              </w:tc>
              <w:tc>
                <w:tcPr>
                  <w:tcW w:w="657" w:type="pct"/>
                  <w:tcBorders>
                    <w:tl2br w:val="nil"/>
                    <w:tr2bl w:val="nil"/>
                  </w:tcBorders>
                  <w:vAlign w:val="center"/>
                </w:tcPr>
                <w:p>
                  <w:pPr>
                    <w:pStyle w:val="70"/>
                    <w:rPr>
                      <w:rFonts w:eastAsia="宋体"/>
                      <w:sz w:val="21"/>
                      <w:szCs w:val="21"/>
                    </w:rPr>
                  </w:pPr>
                  <w:r>
                    <w:rPr>
                      <w:rFonts w:hint="eastAsia" w:eastAsia="宋体"/>
                      <w:sz w:val="21"/>
                      <w:szCs w:val="21"/>
                    </w:rPr>
                    <w:t>噪声</w:t>
                  </w:r>
                </w:p>
              </w:tc>
              <w:tc>
                <w:tcPr>
                  <w:tcW w:w="1324" w:type="pct"/>
                  <w:tcBorders>
                    <w:tl2br w:val="nil"/>
                    <w:tr2bl w:val="nil"/>
                  </w:tcBorders>
                  <w:vAlign w:val="center"/>
                </w:tcPr>
                <w:p>
                  <w:pPr>
                    <w:pStyle w:val="70"/>
                    <w:rPr>
                      <w:rFonts w:eastAsia="宋体"/>
                      <w:sz w:val="21"/>
                      <w:szCs w:val="21"/>
                    </w:rPr>
                  </w:pPr>
                  <w:r>
                    <w:rPr>
                      <w:rFonts w:hint="eastAsia" w:eastAsia="宋体"/>
                      <w:sz w:val="21"/>
                      <w:szCs w:val="21"/>
                    </w:rPr>
                    <w:t>厂界外1m处</w:t>
                  </w:r>
                </w:p>
              </w:tc>
              <w:tc>
                <w:tcPr>
                  <w:tcW w:w="901" w:type="pct"/>
                  <w:tcBorders>
                    <w:tl2br w:val="nil"/>
                    <w:tr2bl w:val="nil"/>
                  </w:tcBorders>
                  <w:vAlign w:val="center"/>
                </w:tcPr>
                <w:p>
                  <w:pPr>
                    <w:pStyle w:val="70"/>
                    <w:rPr>
                      <w:rFonts w:eastAsia="宋体"/>
                      <w:sz w:val="21"/>
                      <w:szCs w:val="21"/>
                    </w:rPr>
                  </w:pPr>
                  <w:r>
                    <w:rPr>
                      <w:rFonts w:hint="eastAsia" w:eastAsia="宋体"/>
                      <w:sz w:val="21"/>
                      <w:szCs w:val="21"/>
                    </w:rPr>
                    <w:t>LAep</w:t>
                  </w:r>
                </w:p>
              </w:tc>
              <w:tc>
                <w:tcPr>
                  <w:tcW w:w="1155" w:type="pct"/>
                  <w:tcBorders>
                    <w:tl2br w:val="nil"/>
                    <w:tr2bl w:val="nil"/>
                  </w:tcBorders>
                  <w:vAlign w:val="center"/>
                </w:tcPr>
                <w:p>
                  <w:pPr>
                    <w:pStyle w:val="70"/>
                    <w:rPr>
                      <w:rFonts w:eastAsia="宋体"/>
                      <w:sz w:val="21"/>
                      <w:szCs w:val="21"/>
                    </w:rPr>
                  </w:pPr>
                  <w:r>
                    <w:rPr>
                      <w:rFonts w:eastAsia="宋体"/>
                      <w:sz w:val="21"/>
                      <w:szCs w:val="21"/>
                    </w:rPr>
                    <w:t>每</w:t>
                  </w:r>
                  <w:r>
                    <w:rPr>
                      <w:rFonts w:hint="eastAsia" w:eastAsia="宋体"/>
                      <w:sz w:val="21"/>
                      <w:szCs w:val="21"/>
                    </w:rPr>
                    <w:t>季度</w:t>
                  </w:r>
                  <w:r>
                    <w:rPr>
                      <w:rFonts w:eastAsia="宋体"/>
                      <w:sz w:val="21"/>
                      <w:szCs w:val="21"/>
                    </w:rPr>
                    <w:t>监测一次</w:t>
                  </w:r>
                </w:p>
              </w:tc>
            </w:tr>
          </w:tbl>
          <w:p>
            <w:pPr>
              <w:adjustRightInd w:val="0"/>
              <w:snapToGrid w:val="0"/>
              <w:spacing w:line="500" w:lineRule="exact"/>
              <w:ind w:firstLine="482" w:firstLineChars="200"/>
              <w:rPr>
                <w:b/>
                <w:bCs/>
                <w:sz w:val="24"/>
              </w:rPr>
            </w:pPr>
            <w:r>
              <w:rPr>
                <w:b/>
                <w:bCs/>
                <w:sz w:val="24"/>
              </w:rPr>
              <w:t>4、固体废物环境影响及防治措施分析</w:t>
            </w:r>
          </w:p>
          <w:p>
            <w:pPr>
              <w:spacing w:line="500" w:lineRule="exact"/>
              <w:ind w:firstLine="482" w:firstLineChars="200"/>
              <w:rPr>
                <w:b/>
                <w:sz w:val="24"/>
              </w:rPr>
            </w:pPr>
            <w:r>
              <w:rPr>
                <w:b/>
                <w:sz w:val="24"/>
              </w:rPr>
              <w:t>（1）固体废物源强核算</w:t>
            </w:r>
          </w:p>
          <w:p>
            <w:pPr>
              <w:widowControl/>
              <w:spacing w:line="500" w:lineRule="exact"/>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本项目固体废物主要为铝渣、</w:t>
            </w:r>
            <w:r>
              <w:rPr>
                <w:color w:val="000000"/>
                <w:sz w:val="24"/>
              </w:rPr>
              <w:t>除尘器收集的铝烟尘、废包装桶、脱模剂废液、</w:t>
            </w:r>
            <w:r>
              <w:rPr>
                <w:color w:val="000000" w:themeColor="text1"/>
                <w:sz w:val="24"/>
                <w14:textFill>
                  <w14:solidFill>
                    <w14:schemeClr w14:val="tx1"/>
                  </w14:solidFill>
                </w14:textFill>
              </w:rPr>
              <w:t>废边角料、废包装材料、废活性炭、废弃塑粉、废弃涤纶丝</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沉淀池废渣、废切削液</w:t>
            </w:r>
            <w:r>
              <w:rPr>
                <w:color w:val="000000" w:themeColor="text1"/>
                <w:sz w:val="24"/>
                <w14:textFill>
                  <w14:solidFill>
                    <w14:schemeClr w14:val="tx1"/>
                  </w14:solidFill>
                </w14:textFill>
              </w:rPr>
              <w:t>和员工生活垃圾。</w:t>
            </w:r>
          </w:p>
          <w:p>
            <w:pPr>
              <w:spacing w:line="5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①一般固废</w:t>
            </w:r>
          </w:p>
          <w:p>
            <w:pPr>
              <w:spacing w:line="5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废边角料：根据企业提供资料，边角料产生量约3t/a，收集后外售；</w:t>
            </w:r>
          </w:p>
          <w:p>
            <w:pPr>
              <w:spacing w:line="5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废包装材料：原料及成品包装产生的废包装材料，产生量约为2t/a，收集后外售；</w:t>
            </w:r>
          </w:p>
          <w:p>
            <w:pPr>
              <w:spacing w:line="5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废弃塑粉：喷塑过程中产生收集的废弃塑粉产生量约为23.88/a，全部回收再利用；</w:t>
            </w:r>
          </w:p>
          <w:p>
            <w:pPr>
              <w:spacing w:line="5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废弃涤纶丝：项目加捻、编织等工段中会产生废涤纶丝，产生量约0.2t/a，企业回收后外售。</w:t>
            </w:r>
          </w:p>
          <w:p>
            <w:pPr>
              <w:pStyle w:val="15"/>
              <w:spacing w:line="500" w:lineRule="exact"/>
              <w:ind w:firstLine="480" w:firstLineChars="200"/>
              <w:rPr>
                <w:color w:val="000000" w:themeColor="text1"/>
                <w:szCs w:val="24"/>
                <w14:textFill>
                  <w14:solidFill>
                    <w14:schemeClr w14:val="tx1"/>
                  </w14:solidFill>
                </w14:textFill>
              </w:rPr>
            </w:pPr>
            <w:r>
              <w:rPr>
                <w:color w:val="000000" w:themeColor="text1"/>
                <w:szCs w:val="24"/>
                <w14:textFill>
                  <w14:solidFill>
                    <w14:schemeClr w14:val="tx1"/>
                  </w14:solidFill>
                </w14:textFill>
              </w:rPr>
              <w:t>②危险固废</w:t>
            </w:r>
          </w:p>
          <w:p>
            <w:pPr>
              <w:pStyle w:val="15"/>
              <w:spacing w:line="500" w:lineRule="exact"/>
              <w:ind w:firstLine="480" w:firstLineChars="200"/>
              <w:rPr>
                <w:color w:val="000000" w:themeColor="text1"/>
                <w:szCs w:val="24"/>
                <w14:textFill>
                  <w14:solidFill>
                    <w14:schemeClr w14:val="tx1"/>
                  </w14:solidFill>
                </w14:textFill>
              </w:rPr>
            </w:pPr>
            <w:r>
              <w:rPr>
                <w:color w:val="000000" w:themeColor="text1"/>
                <w:szCs w:val="24"/>
                <w14:textFill>
                  <w14:solidFill>
                    <w14:schemeClr w14:val="tx1"/>
                  </w14:solidFill>
                </w14:textFill>
              </w:rPr>
              <w:t>铝渣：铝锭熔化过程中会产生铝渣，产生量约占原料用量的0.5%，本项目铝锭用量为400t/a，则铝渣产生量为2t/a，收集后外售；</w:t>
            </w:r>
          </w:p>
          <w:p>
            <w:pPr>
              <w:pStyle w:val="15"/>
              <w:spacing w:line="500" w:lineRule="exact"/>
              <w:ind w:firstLine="480" w:firstLineChars="200"/>
              <w:rPr>
                <w:color w:val="000000" w:themeColor="text1"/>
                <w:szCs w:val="24"/>
                <w14:textFill>
                  <w14:solidFill>
                    <w14:schemeClr w14:val="tx1"/>
                  </w14:solidFill>
                </w14:textFill>
              </w:rPr>
            </w:pPr>
            <w:r>
              <w:rPr>
                <w:color w:val="000000"/>
                <w:szCs w:val="24"/>
              </w:rPr>
              <w:t>除尘器收集的铝烟尘：项目采用布袋除尘器收集熔炼废气中的含铝烟尘。经核算，布袋回收的含铝烟尘产生量约为0.1701t/a</w:t>
            </w:r>
            <w:r>
              <w:rPr>
                <w:color w:val="000000" w:themeColor="text1"/>
                <w:szCs w:val="24"/>
                <w14:textFill>
                  <w14:solidFill>
                    <w14:schemeClr w14:val="tx1"/>
                  </w14:solidFill>
                </w14:textFill>
              </w:rPr>
              <w:t>，收集后委托有资质单位进行处置</w:t>
            </w:r>
            <w:r>
              <w:rPr>
                <w:color w:val="000000"/>
                <w:szCs w:val="24"/>
              </w:rPr>
              <w:t>；</w:t>
            </w:r>
          </w:p>
          <w:p>
            <w:pPr>
              <w:spacing w:line="5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废活性炭：根据活性炭质量报告中，本项目有机废气治理系统预期年产生废活性炭量约</w:t>
            </w: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.2t/a，废活性炭属于危险废物，收集后委托有资质单位进行处置；</w:t>
            </w:r>
          </w:p>
          <w:p>
            <w:pPr>
              <w:spacing w:line="5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废包装桶：根据企业提供资料，本项目包装桶产生量为0.4t/a，收集后委托有资质单位进行处置；</w:t>
            </w:r>
          </w:p>
          <w:p>
            <w:pPr>
              <w:spacing w:line="5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脱模剂废液：模具喷涂脱模剂过程中有脱模剂废液产生，产生量约占用量的5%，即0.25t/a，委托有资质单位处置。</w:t>
            </w:r>
          </w:p>
          <w:p>
            <w:pPr>
              <w:spacing w:line="5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废机油：机器维护保养会产生废机油0.001t/a；</w:t>
            </w:r>
          </w:p>
          <w:p>
            <w:pPr>
              <w:spacing w:line="5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废机油桶：机器维护保养会产生废机油0.02t/a；</w:t>
            </w:r>
          </w:p>
          <w:p>
            <w:pPr>
              <w:spacing w:line="500" w:lineRule="exact"/>
              <w:ind w:firstLine="480" w:firstLineChars="200"/>
              <w:rPr>
                <w:rFonts w:hint="eastAsia" w:eastAsia="宋体"/>
                <w:color w:val="000000" w:themeColor="text1"/>
                <w:sz w:val="24"/>
                <w:lang w:val="en-US" w:eastAsia="zh-CN"/>
                <w14:textFill>
                  <w14:solidFill>
                    <w14:schemeClr w14:val="tx1"/>
                  </w14:solidFill>
                </w14:textFill>
              </w:rPr>
            </w:pPr>
            <w:r>
              <w:rPr>
                <w:rFonts w:hint="default"/>
                <w:color w:val="000000" w:themeColor="text1"/>
                <w:sz w:val="24"/>
                <w:lang w:val="en-US" w:eastAsia="zh-CN"/>
                <w14:textFill>
                  <w14:solidFill>
                    <w14:schemeClr w14:val="tx1"/>
                  </w14:solidFill>
                </w14:textFill>
              </w:rPr>
              <w:t>废切削液：根据企业提供资料每年机器检修时更换切削液，废切削液产生量为0.1</w:t>
            </w:r>
            <w:r>
              <w:rPr>
                <w:color w:val="000000" w:themeColor="text1"/>
                <w:sz w:val="24"/>
                <w14:textFill>
                  <w14:solidFill>
                    <w14:schemeClr w14:val="tx1"/>
                  </w14:solidFill>
                </w14:textFill>
              </w:rPr>
              <w:t>t/a</w:t>
            </w:r>
            <w:r>
              <w:rPr>
                <w:rFonts w:hint="eastAsia"/>
                <w:color w:val="000000" w:themeColor="text1"/>
                <w:sz w:val="24"/>
                <w:lang w:eastAsia="zh-CN"/>
                <w14:textFill>
                  <w14:solidFill>
                    <w14:schemeClr w14:val="tx1"/>
                  </w14:solidFill>
                </w14:textFill>
              </w:rPr>
              <w:t>；</w:t>
            </w:r>
          </w:p>
          <w:p>
            <w:pPr>
              <w:spacing w:line="500" w:lineRule="exact"/>
              <w:ind w:firstLine="480" w:firstLineChars="200"/>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沉淀池残渣：每年对沉淀池清理，预估沉淀池残渣产生量为0.2t/a。</w:t>
            </w:r>
          </w:p>
          <w:p>
            <w:pPr>
              <w:spacing w:line="5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③生活垃圾</w:t>
            </w:r>
          </w:p>
          <w:p>
            <w:pPr>
              <w:spacing w:line="5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本项目定员25人，生活垃圾产生量按1kg/d·人计算，年工作日300天，则生活垃圾总产生量为7.5t/a；委托环卫部门定期清运，不外排。</w:t>
            </w:r>
          </w:p>
          <w:p>
            <w:pPr>
              <w:spacing w:line="500" w:lineRule="exact"/>
              <w:ind w:firstLine="480" w:firstLineChars="200"/>
              <w:jc w:val="left"/>
              <w:rPr>
                <w:color w:val="000000" w:themeColor="text1"/>
                <w:szCs w:val="21"/>
                <w14:textFill>
                  <w14:solidFill>
                    <w14:schemeClr w14:val="tx1"/>
                  </w14:solidFill>
                </w14:textFill>
              </w:rPr>
            </w:pPr>
            <w:r>
              <w:rPr>
                <w:color w:val="000000" w:themeColor="text1"/>
                <w:sz w:val="24"/>
                <w14:textFill>
                  <w14:solidFill>
                    <w14:schemeClr w14:val="tx1"/>
                  </w14:solidFill>
                </w14:textFill>
              </w:rPr>
              <w:t>本项目固体废物产生情况见下表：</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bCs/>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bCs/>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w:t>
            </w:r>
            <w:r>
              <w:rPr>
                <w:rFonts w:hint="eastAsia"/>
                <w:b/>
                <w:bCs/>
                <w:color w:val="000000" w:themeColor="text1"/>
                <w:szCs w:val="21"/>
                <w14:textFill>
                  <w14:solidFill>
                    <w14:schemeClr w14:val="tx1"/>
                  </w14:solidFill>
                </w14:textFill>
              </w:rPr>
              <w:t>14</w:t>
            </w:r>
            <w:r>
              <w:rPr>
                <w:b/>
                <w:bCs/>
                <w:color w:val="000000" w:themeColor="text1"/>
                <w:szCs w:val="21"/>
                <w14:textFill>
                  <w14:solidFill>
                    <w14:schemeClr w14:val="tx1"/>
                  </w14:solidFill>
                </w14:textFill>
              </w:rPr>
              <w:t>本项目固体废物</w:t>
            </w:r>
            <w:r>
              <w:rPr>
                <w:rFonts w:hint="eastAsia"/>
                <w:b/>
                <w:bCs/>
                <w:color w:val="000000" w:themeColor="text1"/>
                <w:szCs w:val="21"/>
                <w14:textFill>
                  <w14:solidFill>
                    <w14:schemeClr w14:val="tx1"/>
                  </w14:solidFill>
                </w14:textFill>
              </w:rPr>
              <w:t>产生情况</w:t>
            </w:r>
            <w:r>
              <w:rPr>
                <w:b/>
                <w:bCs/>
                <w:color w:val="000000" w:themeColor="text1"/>
                <w:szCs w:val="21"/>
                <w14:textFill>
                  <w14:solidFill>
                    <w14:schemeClr w14:val="tx1"/>
                  </w14:solidFill>
                </w14:textFill>
              </w:rPr>
              <w:t>表</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3"/>
              <w:gridCol w:w="638"/>
              <w:gridCol w:w="1025"/>
              <w:gridCol w:w="1025"/>
              <w:gridCol w:w="454"/>
              <w:gridCol w:w="907"/>
              <w:gridCol w:w="954"/>
              <w:gridCol w:w="626"/>
              <w:gridCol w:w="753"/>
              <w:gridCol w:w="17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244" w:type="pct"/>
                  <w:vMerge w:val="restart"/>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t>编号</w:t>
                  </w:r>
                </w:p>
              </w:tc>
              <w:tc>
                <w:tcPr>
                  <w:tcW w:w="368" w:type="pct"/>
                  <w:vMerge w:val="restart"/>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t>名称</w:t>
                  </w:r>
                </w:p>
              </w:tc>
              <w:tc>
                <w:tcPr>
                  <w:tcW w:w="591" w:type="pct"/>
                  <w:vMerge w:val="restart"/>
                  <w:noWrap w:val="0"/>
                  <w:vAlign w:val="center"/>
                </w:tcPr>
                <w:p>
                  <w:pPr>
                    <w:widowControl/>
                    <w:jc w:val="center"/>
                    <w:rPr>
                      <w:rFonts w:hint="default" w:ascii="Times New Roman" w:hAnsi="Times New Roman" w:eastAsia="宋体" w:cs="Times New Roman"/>
                      <w:b/>
                      <w:bCs w:val="0"/>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kern w:val="0"/>
                      <w:szCs w:val="21"/>
                      <w:highlight w:val="none"/>
                      <w:lang w:val="en-US" w:eastAsia="zh-CN"/>
                      <w14:textFill>
                        <w14:solidFill>
                          <w14:schemeClr w14:val="tx1"/>
                        </w14:solidFill>
                      </w14:textFill>
                    </w:rPr>
                    <w:t>废物代码</w:t>
                  </w:r>
                </w:p>
              </w:tc>
              <w:tc>
                <w:tcPr>
                  <w:tcW w:w="591" w:type="pct"/>
                  <w:vMerge w:val="restart"/>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t>产生工序</w:t>
                  </w:r>
                </w:p>
              </w:tc>
              <w:tc>
                <w:tcPr>
                  <w:tcW w:w="262" w:type="pct"/>
                  <w:vMerge w:val="restart"/>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t>形态</w:t>
                  </w:r>
                </w:p>
              </w:tc>
              <w:tc>
                <w:tcPr>
                  <w:tcW w:w="523" w:type="pct"/>
                  <w:vMerge w:val="restart"/>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t>主要成分</w:t>
                  </w:r>
                </w:p>
              </w:tc>
              <w:tc>
                <w:tcPr>
                  <w:tcW w:w="550" w:type="pct"/>
                  <w:vMerge w:val="restart"/>
                  <w:noWrap w:val="0"/>
                  <w:vAlign w:val="center"/>
                </w:tcPr>
                <w:p>
                  <w:pPr>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t>预测产生量（吨/年）</w:t>
                  </w:r>
                </w:p>
              </w:tc>
              <w:tc>
                <w:tcPr>
                  <w:tcW w:w="1815" w:type="pct"/>
                  <w:gridSpan w:val="3"/>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t>种类判断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vMerge w:val="continue"/>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p>
              </w:tc>
              <w:tc>
                <w:tcPr>
                  <w:tcW w:w="368" w:type="pct"/>
                  <w:vMerge w:val="continue"/>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p>
              </w:tc>
              <w:tc>
                <w:tcPr>
                  <w:tcW w:w="591" w:type="pct"/>
                  <w:vMerge w:val="continue"/>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p>
              </w:tc>
              <w:tc>
                <w:tcPr>
                  <w:tcW w:w="591" w:type="pct"/>
                  <w:vMerge w:val="continue"/>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p>
              </w:tc>
              <w:tc>
                <w:tcPr>
                  <w:tcW w:w="262" w:type="pct"/>
                  <w:vMerge w:val="continue"/>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p>
              </w:tc>
              <w:tc>
                <w:tcPr>
                  <w:tcW w:w="523" w:type="pct"/>
                  <w:vMerge w:val="continue"/>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p>
              </w:tc>
              <w:tc>
                <w:tcPr>
                  <w:tcW w:w="550" w:type="pct"/>
                  <w:vMerge w:val="continue"/>
                  <w:noWrap w:val="0"/>
                  <w:vAlign w:val="center"/>
                </w:tcPr>
                <w:p>
                  <w:pPr>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p>
              </w:tc>
              <w:tc>
                <w:tcPr>
                  <w:tcW w:w="362" w:type="pct"/>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t>固体废物</w:t>
                  </w:r>
                </w:p>
              </w:tc>
              <w:tc>
                <w:tcPr>
                  <w:tcW w:w="434" w:type="pct"/>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t>副产品</w:t>
                  </w:r>
                </w:p>
              </w:tc>
              <w:tc>
                <w:tcPr>
                  <w:tcW w:w="1018" w:type="pct"/>
                  <w:noWrap w:val="0"/>
                  <w:vAlign w:val="center"/>
                </w:tcPr>
                <w:p>
                  <w:pPr>
                    <w:widowControl/>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t>判定依据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noWrap w:val="0"/>
                  <w:vAlign w:val="center"/>
                </w:tcPr>
                <w:p>
                  <w:pPr>
                    <w:jc w:val="center"/>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1</w:t>
                  </w:r>
                </w:p>
              </w:tc>
              <w:tc>
                <w:tcPr>
                  <w:tcW w:w="368" w:type="pct"/>
                  <w:noWrap w:val="0"/>
                  <w:vAlign w:val="center"/>
                </w:tcPr>
                <w:p>
                  <w:pPr>
                    <w:widowControl/>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废</w:t>
                  </w: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边角料</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bCs/>
                      <w:color w:val="auto"/>
                      <w:kern w:val="0"/>
                      <w:szCs w:val="21"/>
                    </w:rPr>
                    <w:t>900-999-99</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机械加工等</w:t>
                  </w:r>
                </w:p>
              </w:tc>
              <w:tc>
                <w:tcPr>
                  <w:tcW w:w="2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固态</w:t>
                  </w:r>
                </w:p>
              </w:tc>
              <w:tc>
                <w:tcPr>
                  <w:tcW w:w="523"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铝</w:t>
                  </w:r>
                </w:p>
              </w:tc>
              <w:tc>
                <w:tcPr>
                  <w:tcW w:w="550"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3</w:t>
                  </w:r>
                </w:p>
              </w:tc>
              <w:tc>
                <w:tcPr>
                  <w:tcW w:w="3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434"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1018" w:type="pct"/>
                  <w:vMerge w:val="restar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《固体废物鉴别标准通则》（GB34330-2017）</w:t>
                  </w:r>
                </w:p>
                <w:p>
                  <w:pPr>
                    <w:jc w:val="center"/>
                    <w:rPr>
                      <w:rFonts w:hint="default" w:ascii="Times New Roman" w:hAnsi="Times New Roman" w:eastAsia="宋体" w:cs="Times New Roman"/>
                      <w:bCs/>
                      <w:color w:val="000000" w:themeColor="text1"/>
                      <w:kern w:val="0"/>
                      <w:szCs w:val="21"/>
                      <w:highlight w:val="none"/>
                      <w:lang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2</w:t>
                  </w:r>
                </w:p>
              </w:tc>
              <w:tc>
                <w:tcPr>
                  <w:tcW w:w="368" w:type="pct"/>
                  <w:noWrap w:val="0"/>
                  <w:vAlign w:val="center"/>
                </w:tcPr>
                <w:p>
                  <w:pPr>
                    <w:widowControl/>
                    <w:jc w:val="center"/>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废包装材料</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auto"/>
                      <w:kern w:val="0"/>
                      <w:szCs w:val="21"/>
                    </w:rPr>
                    <w:t>900-999-99</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拆袋、包装</w:t>
                  </w:r>
                </w:p>
              </w:tc>
              <w:tc>
                <w:tcPr>
                  <w:tcW w:w="2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固态</w:t>
                  </w:r>
                </w:p>
              </w:tc>
              <w:tc>
                <w:tcPr>
                  <w:tcW w:w="523" w:type="pct"/>
                  <w:noWrap w:val="0"/>
                  <w:vAlign w:val="center"/>
                </w:tcPr>
                <w:p>
                  <w:pPr>
                    <w:jc w:val="center"/>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塑料</w:t>
                  </w:r>
                </w:p>
              </w:tc>
              <w:tc>
                <w:tcPr>
                  <w:tcW w:w="550"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2</w:t>
                  </w:r>
                </w:p>
              </w:tc>
              <w:tc>
                <w:tcPr>
                  <w:tcW w:w="3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434"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1018" w:type="pct"/>
                  <w:vMerge w:val="continue"/>
                  <w:noWrap w:val="0"/>
                  <w:vAlign w:val="center"/>
                </w:tcPr>
                <w:p>
                  <w:pPr>
                    <w:jc w:val="center"/>
                    <w:rPr>
                      <w:rFonts w:hint="default" w:ascii="Times New Roman" w:hAnsi="Times New Roman" w:eastAsia="宋体" w:cs="Times New Roman"/>
                      <w:bCs/>
                      <w:color w:val="000000" w:themeColor="text1"/>
                      <w:kern w:val="0"/>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3</w:t>
                  </w:r>
                </w:p>
              </w:tc>
              <w:tc>
                <w:tcPr>
                  <w:tcW w:w="368" w:type="pct"/>
                  <w:noWrap w:val="0"/>
                  <w:vAlign w:val="center"/>
                </w:tcPr>
                <w:p>
                  <w:pPr>
                    <w:widowControl/>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铝渣</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t>321-026-48</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熔化</w:t>
                  </w:r>
                </w:p>
              </w:tc>
              <w:tc>
                <w:tcPr>
                  <w:tcW w:w="262"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固态</w:t>
                  </w:r>
                </w:p>
              </w:tc>
              <w:tc>
                <w:tcPr>
                  <w:tcW w:w="523"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铝</w:t>
                  </w:r>
                </w:p>
              </w:tc>
              <w:tc>
                <w:tcPr>
                  <w:tcW w:w="550"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2</w:t>
                  </w:r>
                </w:p>
              </w:tc>
              <w:tc>
                <w:tcPr>
                  <w:tcW w:w="3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434"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1018" w:type="pct"/>
                  <w:vMerge w:val="continue"/>
                  <w:noWrap w:val="0"/>
                  <w:vAlign w:val="center"/>
                </w:tcPr>
                <w:p>
                  <w:pPr>
                    <w:jc w:val="center"/>
                    <w:rPr>
                      <w:rFonts w:hint="default" w:ascii="Times New Roman" w:hAnsi="Times New Roman" w:eastAsia="宋体" w:cs="Times New Roman"/>
                      <w:bCs/>
                      <w:color w:val="000000" w:themeColor="text1"/>
                      <w:kern w:val="0"/>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4</w:t>
                  </w:r>
                </w:p>
              </w:tc>
              <w:tc>
                <w:tcPr>
                  <w:tcW w:w="368" w:type="pct"/>
                  <w:noWrap w:val="0"/>
                  <w:vAlign w:val="center"/>
                </w:tcPr>
                <w:p>
                  <w:pPr>
                    <w:widowControl/>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kern w:val="0"/>
                      <w:sz w:val="21"/>
                      <w:szCs w:val="21"/>
                    </w:rPr>
                    <w:t>除尘器收集的铝烟尘</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t>321-034-48</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废气处理</w:t>
                  </w:r>
                </w:p>
              </w:tc>
              <w:tc>
                <w:tcPr>
                  <w:tcW w:w="262"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固态</w:t>
                  </w:r>
                </w:p>
              </w:tc>
              <w:tc>
                <w:tcPr>
                  <w:tcW w:w="523"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铝灰分</w:t>
                  </w:r>
                </w:p>
              </w:tc>
              <w:tc>
                <w:tcPr>
                  <w:tcW w:w="550"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0.1701</w:t>
                  </w:r>
                </w:p>
              </w:tc>
              <w:tc>
                <w:tcPr>
                  <w:tcW w:w="3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434"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1018" w:type="pct"/>
                  <w:vMerge w:val="continue"/>
                  <w:noWrap w:val="0"/>
                  <w:vAlign w:val="center"/>
                </w:tcPr>
                <w:p>
                  <w:pPr>
                    <w:jc w:val="center"/>
                    <w:rPr>
                      <w:rFonts w:hint="default" w:ascii="Times New Roman" w:hAnsi="Times New Roman" w:eastAsia="宋体" w:cs="Times New Roman"/>
                      <w:bCs/>
                      <w:color w:val="000000" w:themeColor="text1"/>
                      <w:kern w:val="0"/>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5</w:t>
                  </w:r>
                </w:p>
              </w:tc>
              <w:tc>
                <w:tcPr>
                  <w:tcW w:w="368"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废活性炭</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900-039-49</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废气处理</w:t>
                  </w:r>
                </w:p>
              </w:tc>
              <w:tc>
                <w:tcPr>
                  <w:tcW w:w="2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固态</w:t>
                  </w:r>
                </w:p>
              </w:tc>
              <w:tc>
                <w:tcPr>
                  <w:tcW w:w="523" w:type="pct"/>
                  <w:noWrap w:val="0"/>
                  <w:vAlign w:val="center"/>
                </w:tcPr>
                <w:p>
                  <w:pPr>
                    <w:widowControl/>
                    <w:spacing w:line="280" w:lineRule="exac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活性炭</w:t>
                  </w:r>
                </w:p>
              </w:tc>
              <w:tc>
                <w:tcPr>
                  <w:tcW w:w="550"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3.2</w:t>
                  </w:r>
                </w:p>
              </w:tc>
              <w:tc>
                <w:tcPr>
                  <w:tcW w:w="3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434"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1018" w:type="pct"/>
                  <w:vMerge w:val="continue"/>
                  <w:noWrap w:val="0"/>
                  <w:vAlign w:val="center"/>
                </w:tcPr>
                <w:p>
                  <w:pPr>
                    <w:jc w:val="center"/>
                    <w:rPr>
                      <w:rFonts w:hint="default" w:ascii="Times New Roman" w:hAnsi="Times New Roman" w:eastAsia="宋体" w:cs="Times New Roman"/>
                      <w:bCs/>
                      <w:color w:val="000000" w:themeColor="text1"/>
                      <w:kern w:val="0"/>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6</w:t>
                  </w:r>
                </w:p>
              </w:tc>
              <w:tc>
                <w:tcPr>
                  <w:tcW w:w="368" w:type="pct"/>
                  <w:noWrap w:val="0"/>
                  <w:vAlign w:val="center"/>
                </w:tcPr>
                <w:p>
                  <w:pPr>
                    <w:widowControl/>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废包装桶</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t>900-041-49</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包装</w:t>
                  </w:r>
                </w:p>
              </w:tc>
              <w:tc>
                <w:tcPr>
                  <w:tcW w:w="262"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固态</w:t>
                  </w:r>
                </w:p>
              </w:tc>
              <w:tc>
                <w:tcPr>
                  <w:tcW w:w="523"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脱模剂等</w:t>
                  </w:r>
                </w:p>
              </w:tc>
              <w:tc>
                <w:tcPr>
                  <w:tcW w:w="550"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0.4</w:t>
                  </w:r>
                </w:p>
              </w:tc>
              <w:tc>
                <w:tcPr>
                  <w:tcW w:w="3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434"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1018" w:type="pct"/>
                  <w:vMerge w:val="continue"/>
                  <w:noWrap w:val="0"/>
                  <w:vAlign w:val="center"/>
                </w:tcPr>
                <w:p>
                  <w:pPr>
                    <w:jc w:val="center"/>
                    <w:rPr>
                      <w:rFonts w:hint="default" w:ascii="Times New Roman" w:hAnsi="Times New Roman" w:eastAsia="宋体" w:cs="Times New Roman"/>
                      <w:bCs/>
                      <w:color w:val="000000" w:themeColor="text1"/>
                      <w:kern w:val="0"/>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noWrap w:val="0"/>
                  <w:vAlign w:val="center"/>
                </w:tcPr>
                <w:p>
                  <w:pPr>
                    <w:jc w:val="center"/>
                    <w:rPr>
                      <w:rFonts w:hint="default" w:ascii="Times New Roman" w:hAnsi="Times New Roman" w:eastAsia="宋体" w:cs="Times New Roman"/>
                      <w:color w:val="000000" w:themeColor="text1"/>
                      <w:kern w:val="0"/>
                      <w:szCs w:val="21"/>
                      <w:highlight w:val="none"/>
                      <w:lang w:val="en-US"/>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7</w:t>
                  </w:r>
                </w:p>
              </w:tc>
              <w:tc>
                <w:tcPr>
                  <w:tcW w:w="368"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脱模剂废液</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t>900-007-09</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压铸</w:t>
                  </w:r>
                </w:p>
              </w:tc>
              <w:tc>
                <w:tcPr>
                  <w:tcW w:w="262" w:type="pct"/>
                  <w:noWrap w:val="0"/>
                  <w:vAlign w:val="center"/>
                </w:tcPr>
                <w:p>
                  <w:pPr>
                    <w:jc w:val="center"/>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液态</w:t>
                  </w:r>
                </w:p>
              </w:tc>
              <w:tc>
                <w:tcPr>
                  <w:tcW w:w="523" w:type="pct"/>
                  <w:noWrap w:val="0"/>
                  <w:vAlign w:val="center"/>
                </w:tcPr>
                <w:p>
                  <w:pPr>
                    <w:widowControl/>
                    <w:spacing w:line="280" w:lineRule="exact"/>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脱模剂</w:t>
                  </w:r>
                </w:p>
              </w:tc>
              <w:tc>
                <w:tcPr>
                  <w:tcW w:w="550"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0.25</w:t>
                  </w:r>
                </w:p>
              </w:tc>
              <w:tc>
                <w:tcPr>
                  <w:tcW w:w="3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434"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1018" w:type="pct"/>
                  <w:vMerge w:val="continue"/>
                  <w:noWrap w:val="0"/>
                  <w:vAlign w:val="center"/>
                </w:tcPr>
                <w:p>
                  <w:pPr>
                    <w:jc w:val="center"/>
                    <w:rPr>
                      <w:rFonts w:hint="default" w:ascii="Times New Roman" w:hAnsi="Times New Roman" w:eastAsia="宋体" w:cs="Times New Roman"/>
                      <w:bCs/>
                      <w:color w:val="000000" w:themeColor="text1"/>
                      <w:kern w:val="0"/>
                      <w:szCs w:val="2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8</w:t>
                  </w:r>
                </w:p>
              </w:tc>
              <w:tc>
                <w:tcPr>
                  <w:tcW w:w="368"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废切削液</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t>900-006-09</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机加工</w:t>
                  </w:r>
                </w:p>
              </w:tc>
              <w:tc>
                <w:tcPr>
                  <w:tcW w:w="262"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液态</w:t>
                  </w:r>
                </w:p>
              </w:tc>
              <w:tc>
                <w:tcPr>
                  <w:tcW w:w="523" w:type="pct"/>
                  <w:noWrap w:val="0"/>
                  <w:vAlign w:val="center"/>
                </w:tcPr>
                <w:p>
                  <w:pPr>
                    <w:widowControl/>
                    <w:spacing w:line="280" w:lineRule="exac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切削液</w:t>
                  </w:r>
                </w:p>
              </w:tc>
              <w:tc>
                <w:tcPr>
                  <w:tcW w:w="550"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0.1</w:t>
                  </w:r>
                </w:p>
              </w:tc>
              <w:tc>
                <w:tcPr>
                  <w:tcW w:w="3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434"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1018" w:type="pct"/>
                  <w:vMerge w:val="continue"/>
                  <w:noWrap w:val="0"/>
                  <w:vAlign w:val="center"/>
                </w:tcPr>
                <w:p>
                  <w:pPr>
                    <w:jc w:val="center"/>
                    <w:rPr>
                      <w:rFonts w:hint="default" w:ascii="Times New Roman" w:hAnsi="Times New Roman" w:eastAsia="宋体" w:cs="Times New Roman"/>
                      <w:bCs/>
                      <w:color w:val="000000" w:themeColor="text1"/>
                      <w:kern w:val="0"/>
                      <w:szCs w:val="2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9</w:t>
                  </w:r>
                </w:p>
              </w:tc>
              <w:tc>
                <w:tcPr>
                  <w:tcW w:w="368" w:type="pct"/>
                  <w:noWrap w:val="0"/>
                  <w:vAlign w:val="center"/>
                </w:tcPr>
                <w:p>
                  <w:pPr>
                    <w:pStyle w:val="84"/>
                    <w:snapToGrid w:val="0"/>
                    <w:ind w:left="0" w:leftChars="0"/>
                    <w:rPr>
                      <w:rFonts w:hint="default" w:ascii="Times New Roman" w:hAnsi="Times New Roman" w:eastAsia="宋体" w:cs="Times New Roman"/>
                      <w:color w:val="000000" w:themeColor="text1"/>
                      <w:w w:val="100"/>
                      <w:kern w:val="0"/>
                      <w:sz w:val="21"/>
                      <w:szCs w:val="21"/>
                      <w:highlight w:val="none"/>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14:textFill>
                        <w14:solidFill>
                          <w14:schemeClr w14:val="tx1"/>
                        </w14:solidFill>
                      </w14:textFill>
                    </w:rPr>
                    <w:t>废机油</w:t>
                  </w:r>
                </w:p>
              </w:tc>
              <w:tc>
                <w:tcPr>
                  <w:tcW w:w="591" w:type="pct"/>
                  <w:noWrap w:val="0"/>
                  <w:vAlign w:val="center"/>
                </w:tcPr>
                <w:p>
                  <w:pPr>
                    <w:pStyle w:val="84"/>
                    <w:snapToGrid w:val="0"/>
                    <w:ind w:left="0" w:leftChars="0"/>
                    <w:rPr>
                      <w:rFonts w:hint="default" w:ascii="Times New Roman" w:hAnsi="Times New Roman" w:eastAsia="宋体" w:cs="Times New Roman"/>
                      <w:bCs/>
                      <w:snapToGrid w:val="0"/>
                      <w:color w:val="000000" w:themeColor="text1"/>
                      <w:w w:val="100"/>
                      <w:kern w:val="0"/>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w w:val="100"/>
                      <w:kern w:val="0"/>
                      <w:sz w:val="21"/>
                      <w:szCs w:val="21"/>
                      <w:highlight w:val="none"/>
                      <w:lang w:eastAsia="zh-CN"/>
                      <w14:textFill>
                        <w14:solidFill>
                          <w14:schemeClr w14:val="tx1"/>
                        </w14:solidFill>
                      </w14:textFill>
                    </w:rPr>
                    <w:t>900-249-08</w:t>
                  </w:r>
                </w:p>
              </w:tc>
              <w:tc>
                <w:tcPr>
                  <w:tcW w:w="591" w:type="pct"/>
                  <w:noWrap w:val="0"/>
                  <w:vAlign w:val="center"/>
                </w:tcPr>
                <w:p>
                  <w:pPr>
                    <w:pStyle w:val="84"/>
                    <w:snapToGrid w:val="0"/>
                    <w:ind w:left="0" w:leftChars="0"/>
                    <w:rPr>
                      <w:rFonts w:hint="default" w:ascii="Times New Roman" w:hAnsi="Times New Roman" w:eastAsia="宋体" w:cs="Times New Roman"/>
                      <w:color w:val="000000" w:themeColor="text1"/>
                      <w:w w:val="100"/>
                      <w:kern w:val="0"/>
                      <w:sz w:val="21"/>
                      <w:szCs w:val="21"/>
                      <w:highlight w:val="none"/>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14:textFill>
                        <w14:solidFill>
                          <w14:schemeClr w14:val="tx1"/>
                        </w14:solidFill>
                      </w14:textFill>
                    </w:rPr>
                    <w:t>设备维护</w:t>
                  </w:r>
                </w:p>
              </w:tc>
              <w:tc>
                <w:tcPr>
                  <w:tcW w:w="262" w:type="pct"/>
                  <w:noWrap w:val="0"/>
                  <w:vAlign w:val="center"/>
                </w:tcPr>
                <w:p>
                  <w:pPr>
                    <w:pStyle w:val="84"/>
                    <w:snapToGrid w:val="0"/>
                    <w:ind w:left="0" w:leftChars="0"/>
                    <w:rPr>
                      <w:rFonts w:hint="default" w:ascii="Times New Roman" w:hAnsi="Times New Roman" w:eastAsia="宋体" w:cs="Times New Roman"/>
                      <w:color w:val="000000" w:themeColor="text1"/>
                      <w:w w:val="100"/>
                      <w:kern w:val="0"/>
                      <w:sz w:val="21"/>
                      <w:szCs w:val="21"/>
                      <w:highlight w:val="none"/>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14:textFill>
                        <w14:solidFill>
                          <w14:schemeClr w14:val="tx1"/>
                        </w14:solidFill>
                      </w14:textFill>
                    </w:rPr>
                    <w:t>设备维护</w:t>
                  </w:r>
                </w:p>
              </w:tc>
              <w:tc>
                <w:tcPr>
                  <w:tcW w:w="523" w:type="pct"/>
                  <w:noWrap w:val="0"/>
                  <w:vAlign w:val="center"/>
                </w:tcPr>
                <w:p>
                  <w:pPr>
                    <w:pStyle w:val="84"/>
                    <w:snapToGrid w:val="0"/>
                    <w:ind w:left="0" w:leftChars="0"/>
                    <w:rPr>
                      <w:rFonts w:hint="default" w:ascii="Times New Roman" w:hAnsi="Times New Roman" w:eastAsia="宋体" w:cs="Times New Roman"/>
                      <w:color w:val="000000" w:themeColor="text1"/>
                      <w:w w:val="100"/>
                      <w:kern w:val="0"/>
                      <w:sz w:val="21"/>
                      <w:szCs w:val="21"/>
                      <w:highlight w:val="none"/>
                      <w:lang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t>油</w:t>
                  </w:r>
                </w:p>
              </w:tc>
              <w:tc>
                <w:tcPr>
                  <w:tcW w:w="550" w:type="pct"/>
                  <w:noWrap w:val="0"/>
                  <w:vAlign w:val="center"/>
                </w:tcPr>
                <w:p>
                  <w:pPr>
                    <w:pStyle w:val="84"/>
                    <w:snapToGrid w:val="0"/>
                    <w:ind w:left="0" w:leftChars="0"/>
                    <w:rPr>
                      <w:rFonts w:hint="default" w:ascii="Times New Roman" w:hAnsi="Times New Roman" w:eastAsia="宋体" w:cs="Times New Roman"/>
                      <w:color w:val="000000" w:themeColor="text1"/>
                      <w:w w:val="100"/>
                      <w:kern w:val="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t>0.001</w:t>
                  </w:r>
                </w:p>
              </w:tc>
              <w:tc>
                <w:tcPr>
                  <w:tcW w:w="362" w:type="pct"/>
                  <w:noWrap w:val="0"/>
                  <w:vAlign w:val="center"/>
                </w:tcPr>
                <w:p>
                  <w:pPr>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434" w:type="pct"/>
                  <w:noWrap w:val="0"/>
                  <w:vAlign w:val="center"/>
                </w:tcPr>
                <w:p>
                  <w:pPr>
                    <w:jc w:val="center"/>
                    <w:rPr>
                      <w:rFonts w:hint="default" w:ascii="Times New Roman" w:hAnsi="Times New Roman" w:eastAsia="宋体" w:cs="Times New Roman"/>
                      <w:b/>
                      <w:bC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1018" w:type="pct"/>
                  <w:vMerge w:val="continue"/>
                  <w:noWrap w:val="0"/>
                  <w:vAlign w:val="center"/>
                </w:tcPr>
                <w:p>
                  <w:pPr>
                    <w:jc w:val="center"/>
                    <w:rPr>
                      <w:rFonts w:hint="default" w:ascii="Times New Roman" w:hAnsi="Times New Roman" w:eastAsia="宋体" w:cs="Times New Roman"/>
                      <w:bCs/>
                      <w:color w:val="000000" w:themeColor="text1"/>
                      <w:kern w:val="0"/>
                      <w:szCs w:val="2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10</w:t>
                  </w:r>
                </w:p>
              </w:tc>
              <w:tc>
                <w:tcPr>
                  <w:tcW w:w="368"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14:textFill>
                        <w14:solidFill>
                          <w14:schemeClr w14:val="tx1"/>
                        </w14:solidFill>
                      </w14:textFill>
                    </w:rPr>
                    <w:t>废油桶</w:t>
                  </w:r>
                </w:p>
              </w:tc>
              <w:tc>
                <w:tcPr>
                  <w:tcW w:w="591" w:type="pct"/>
                  <w:noWrap w:val="0"/>
                  <w:vAlign w:val="center"/>
                </w:tcPr>
                <w:p>
                  <w:pPr>
                    <w:jc w:val="center"/>
                    <w:rPr>
                      <w:rFonts w:hint="default" w:ascii="Times New Roman" w:hAnsi="Times New Roman" w:eastAsia="宋体" w:cs="Times New Roman"/>
                      <w:bCs/>
                      <w:snapToGrid w:val="0"/>
                      <w:color w:val="000000" w:themeColor="text1"/>
                      <w:w w:val="100"/>
                      <w:kern w:val="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14:textFill>
                        <w14:solidFill>
                          <w14:schemeClr w14:val="tx1"/>
                        </w14:solidFill>
                      </w14:textFill>
                    </w:rPr>
                    <w:t>900-249-08</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14:textFill>
                        <w14:solidFill>
                          <w14:schemeClr w14:val="tx1"/>
                        </w14:solidFill>
                      </w14:textFill>
                    </w:rPr>
                    <w:t>设备维护</w:t>
                  </w:r>
                </w:p>
              </w:tc>
              <w:tc>
                <w:tcPr>
                  <w:tcW w:w="2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固态</w:t>
                  </w:r>
                </w:p>
              </w:tc>
              <w:tc>
                <w:tcPr>
                  <w:tcW w:w="523" w:type="pct"/>
                  <w:noWrap w:val="0"/>
                  <w:vAlign w:val="center"/>
                </w:tcPr>
                <w:p>
                  <w:pPr>
                    <w:widowControl/>
                    <w:spacing w:line="280" w:lineRule="exact"/>
                    <w:jc w:val="center"/>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t>油</w:t>
                  </w:r>
                </w:p>
              </w:tc>
              <w:tc>
                <w:tcPr>
                  <w:tcW w:w="550"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0.02</w:t>
                  </w:r>
                </w:p>
              </w:tc>
              <w:tc>
                <w:tcPr>
                  <w:tcW w:w="3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434"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1018" w:type="pct"/>
                  <w:vMerge w:val="continue"/>
                  <w:noWrap w:val="0"/>
                  <w:vAlign w:val="center"/>
                </w:tcPr>
                <w:p>
                  <w:pPr>
                    <w:jc w:val="center"/>
                    <w:rPr>
                      <w:rFonts w:hint="default" w:ascii="Times New Roman" w:hAnsi="Times New Roman" w:eastAsia="宋体" w:cs="Times New Roman"/>
                      <w:bCs/>
                      <w:color w:val="000000" w:themeColor="text1"/>
                      <w:kern w:val="0"/>
                      <w:szCs w:val="21"/>
                      <w:highlight w:val="none"/>
                      <w:lang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11</w:t>
                  </w:r>
                </w:p>
              </w:tc>
              <w:tc>
                <w:tcPr>
                  <w:tcW w:w="368" w:type="pct"/>
                  <w:noWrap w:val="0"/>
                  <w:vAlign w:val="center"/>
                </w:tcPr>
                <w:p>
                  <w:pPr>
                    <w:jc w:val="cente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t>沉淀池残渣</w:t>
                  </w:r>
                </w:p>
              </w:tc>
              <w:tc>
                <w:tcPr>
                  <w:tcW w:w="591" w:type="pct"/>
                  <w:noWrap w:val="0"/>
                  <w:vAlign w:val="center"/>
                </w:tcPr>
                <w:p>
                  <w:pPr>
                    <w:jc w:val="cente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t>900-007-09</w:t>
                  </w:r>
                </w:p>
              </w:tc>
              <w:tc>
                <w:tcPr>
                  <w:tcW w:w="591" w:type="pct"/>
                  <w:noWrap w:val="0"/>
                  <w:vAlign w:val="center"/>
                </w:tcPr>
                <w:p>
                  <w:pPr>
                    <w:jc w:val="cente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t>水处理</w:t>
                  </w:r>
                </w:p>
              </w:tc>
              <w:tc>
                <w:tcPr>
                  <w:tcW w:w="262"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固态</w:t>
                  </w:r>
                </w:p>
              </w:tc>
              <w:tc>
                <w:tcPr>
                  <w:tcW w:w="523" w:type="pct"/>
                  <w:noWrap w:val="0"/>
                  <w:vAlign w:val="center"/>
                </w:tcPr>
                <w:p>
                  <w:pPr>
                    <w:widowControl/>
                    <w:spacing w:line="280" w:lineRule="exact"/>
                    <w:jc w:val="cente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kern w:val="0"/>
                      <w:sz w:val="21"/>
                      <w:szCs w:val="21"/>
                      <w:highlight w:val="none"/>
                      <w:lang w:val="en-US" w:eastAsia="zh-CN"/>
                      <w14:textFill>
                        <w14:solidFill>
                          <w14:schemeClr w14:val="tx1"/>
                        </w14:solidFill>
                      </w14:textFill>
                    </w:rPr>
                    <w:t>油泥、铝屑</w:t>
                  </w:r>
                </w:p>
              </w:tc>
              <w:tc>
                <w:tcPr>
                  <w:tcW w:w="550"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0.</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2</w:t>
                  </w:r>
                </w:p>
              </w:tc>
              <w:tc>
                <w:tcPr>
                  <w:tcW w:w="362" w:type="pct"/>
                  <w:noWrap w:val="0"/>
                  <w:vAlign w:val="center"/>
                </w:tcPr>
                <w:p>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434" w:type="pct"/>
                  <w:noWrap w:val="0"/>
                  <w:vAlign w:val="center"/>
                </w:tcPr>
                <w:p>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1018" w:type="pct"/>
                  <w:vMerge w:val="continue"/>
                  <w:noWrap w:val="0"/>
                  <w:vAlign w:val="center"/>
                </w:tcPr>
                <w:p>
                  <w:pPr>
                    <w:jc w:val="center"/>
                    <w:rPr>
                      <w:rFonts w:hint="default" w:ascii="Times New Roman" w:hAnsi="Times New Roman" w:eastAsia="宋体" w:cs="Times New Roman"/>
                      <w:bCs/>
                      <w:color w:val="000000" w:themeColor="text1"/>
                      <w:kern w:val="0"/>
                      <w:szCs w:val="21"/>
                      <w:highlight w:val="none"/>
                      <w:lang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12</w:t>
                  </w:r>
                </w:p>
              </w:tc>
              <w:tc>
                <w:tcPr>
                  <w:tcW w:w="368"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生活垃圾</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w:t>
                  </w:r>
                </w:p>
              </w:tc>
              <w:tc>
                <w:tcPr>
                  <w:tcW w:w="591"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办公生活</w:t>
                  </w:r>
                </w:p>
              </w:tc>
              <w:tc>
                <w:tcPr>
                  <w:tcW w:w="2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固态</w:t>
                  </w:r>
                </w:p>
              </w:tc>
              <w:tc>
                <w:tcPr>
                  <w:tcW w:w="523" w:type="pct"/>
                  <w:noWrap w:val="0"/>
                  <w:vAlign w:val="center"/>
                </w:tcPr>
                <w:p>
                  <w:pPr>
                    <w:widowControl/>
                    <w:spacing w:line="280" w:lineRule="exact"/>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一般生活垃圾</w:t>
                  </w:r>
                </w:p>
              </w:tc>
              <w:tc>
                <w:tcPr>
                  <w:tcW w:w="550" w:type="pct"/>
                  <w:noWrap w:val="0"/>
                  <w:vAlign w:val="center"/>
                </w:tcPr>
                <w:p>
                  <w:pPr>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7.5</w:t>
                  </w:r>
                </w:p>
              </w:tc>
              <w:tc>
                <w:tcPr>
                  <w:tcW w:w="362"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434" w:type="pct"/>
                  <w:noWrap w:val="0"/>
                  <w:vAlign w:val="center"/>
                </w:tcPr>
                <w:p>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1018" w:type="pct"/>
                  <w:vMerge w:val="continue"/>
                  <w:noWrap w:val="0"/>
                  <w:vAlign w:val="center"/>
                </w:tcPr>
                <w:p>
                  <w:pPr>
                    <w:jc w:val="center"/>
                    <w:rPr>
                      <w:rFonts w:hint="default" w:ascii="Times New Roman" w:hAnsi="Times New Roman" w:eastAsia="宋体" w:cs="Times New Roman"/>
                      <w:bCs/>
                      <w:color w:val="000000" w:themeColor="text1"/>
                      <w:kern w:val="0"/>
                      <w:szCs w:val="21"/>
                      <w:highlight w:val="none"/>
                      <w:lang w:eastAsia="zh-CN"/>
                      <w14:textFill>
                        <w14:solidFill>
                          <w14:schemeClr w14:val="tx1"/>
                        </w14:solidFill>
                      </w14:textFill>
                    </w:rPr>
                  </w:pPr>
                </w:p>
              </w:tc>
            </w:tr>
          </w:tbl>
          <w:p>
            <w:pPr>
              <w:pStyle w:val="84"/>
              <w:keepNext w:val="0"/>
              <w:keepLines w:val="0"/>
              <w:pageBreakBefore w:val="0"/>
              <w:widowControl w:val="0"/>
              <w:kinsoku/>
              <w:wordWrap/>
              <w:overflowPunct/>
              <w:topLinePunct w:val="0"/>
              <w:autoSpaceDE/>
              <w:autoSpaceDN/>
              <w:bidi w:val="0"/>
              <w:adjustRightInd w:val="0"/>
              <w:snapToGrid w:val="0"/>
              <w:spacing w:before="120" w:beforeLines="50" w:after="157" w:afterLines="50"/>
              <w:ind w:left="0" w:leftChars="0"/>
              <w:textAlignment w:val="auto"/>
              <w:rPr>
                <w:b/>
                <w:color w:val="000000" w:themeColor="text1"/>
                <w:w w:val="100"/>
                <w:sz w:val="21"/>
                <w14:textFill>
                  <w14:solidFill>
                    <w14:schemeClr w14:val="tx1"/>
                  </w14:solidFill>
                </w14:textFill>
              </w:rPr>
            </w:pPr>
          </w:p>
          <w:p>
            <w:pPr>
              <w:pStyle w:val="84"/>
              <w:keepNext w:val="0"/>
              <w:keepLines w:val="0"/>
              <w:pageBreakBefore w:val="0"/>
              <w:widowControl w:val="0"/>
              <w:kinsoku/>
              <w:wordWrap/>
              <w:overflowPunct/>
              <w:topLinePunct w:val="0"/>
              <w:autoSpaceDE/>
              <w:autoSpaceDN/>
              <w:bidi w:val="0"/>
              <w:adjustRightInd w:val="0"/>
              <w:snapToGrid w:val="0"/>
              <w:spacing w:before="120" w:beforeLines="50" w:after="157" w:afterLines="50"/>
              <w:ind w:left="0" w:leftChars="0"/>
              <w:textAlignment w:val="auto"/>
              <w:rPr>
                <w:b/>
                <w:color w:val="000000" w:themeColor="text1"/>
                <w:w w:val="100"/>
                <w:sz w:val="21"/>
                <w14:textFill>
                  <w14:solidFill>
                    <w14:schemeClr w14:val="tx1"/>
                  </w14:solidFill>
                </w14:textFill>
              </w:rPr>
            </w:pPr>
          </w:p>
          <w:p>
            <w:pPr>
              <w:pStyle w:val="84"/>
              <w:keepNext w:val="0"/>
              <w:keepLines w:val="0"/>
              <w:pageBreakBefore w:val="0"/>
              <w:widowControl w:val="0"/>
              <w:kinsoku/>
              <w:wordWrap/>
              <w:overflowPunct/>
              <w:topLinePunct w:val="0"/>
              <w:autoSpaceDE/>
              <w:autoSpaceDN/>
              <w:bidi w:val="0"/>
              <w:adjustRightInd w:val="0"/>
              <w:snapToGrid w:val="0"/>
              <w:spacing w:before="120" w:beforeLines="50" w:after="157" w:afterLines="50"/>
              <w:ind w:left="0" w:leftChars="0"/>
              <w:textAlignment w:val="auto"/>
              <w:rPr>
                <w:b/>
                <w:color w:val="000000" w:themeColor="text1"/>
                <w:w w:val="100"/>
                <w:sz w:val="21"/>
                <w14:textFill>
                  <w14:solidFill>
                    <w14:schemeClr w14:val="tx1"/>
                  </w14:solidFill>
                </w14:textFill>
              </w:rPr>
            </w:pPr>
          </w:p>
          <w:p>
            <w:pPr>
              <w:pStyle w:val="84"/>
              <w:keepNext w:val="0"/>
              <w:keepLines w:val="0"/>
              <w:pageBreakBefore w:val="0"/>
              <w:widowControl w:val="0"/>
              <w:kinsoku/>
              <w:wordWrap/>
              <w:overflowPunct/>
              <w:topLinePunct w:val="0"/>
              <w:autoSpaceDE/>
              <w:autoSpaceDN/>
              <w:bidi w:val="0"/>
              <w:adjustRightInd w:val="0"/>
              <w:snapToGrid w:val="0"/>
              <w:spacing w:before="120" w:beforeLines="50" w:after="157" w:afterLines="50"/>
              <w:ind w:left="0" w:leftChars="0"/>
              <w:textAlignment w:val="auto"/>
              <w:rPr>
                <w:b/>
                <w:color w:val="000000" w:themeColor="text1"/>
                <w:w w:val="100"/>
                <w:sz w:val="21"/>
                <w14:textFill>
                  <w14:solidFill>
                    <w14:schemeClr w14:val="tx1"/>
                  </w14:solidFill>
                </w14:textFill>
              </w:rPr>
            </w:pPr>
          </w:p>
          <w:p>
            <w:pPr>
              <w:pStyle w:val="84"/>
              <w:keepNext w:val="0"/>
              <w:keepLines w:val="0"/>
              <w:pageBreakBefore w:val="0"/>
              <w:widowControl w:val="0"/>
              <w:kinsoku/>
              <w:wordWrap/>
              <w:overflowPunct/>
              <w:topLinePunct w:val="0"/>
              <w:autoSpaceDE/>
              <w:autoSpaceDN/>
              <w:bidi w:val="0"/>
              <w:adjustRightInd w:val="0"/>
              <w:snapToGrid w:val="0"/>
              <w:spacing w:before="120" w:beforeLines="50" w:after="157" w:afterLines="50"/>
              <w:ind w:left="0" w:leftChars="0"/>
              <w:textAlignment w:val="auto"/>
              <w:rPr>
                <w:b/>
                <w:color w:val="000000" w:themeColor="text1"/>
                <w:w w:val="100"/>
                <w:sz w:val="21"/>
                <w14:textFill>
                  <w14:solidFill>
                    <w14:schemeClr w14:val="tx1"/>
                  </w14:solidFill>
                </w14:textFill>
              </w:rPr>
            </w:pPr>
          </w:p>
          <w:p>
            <w:pPr>
              <w:pStyle w:val="84"/>
              <w:keepNext w:val="0"/>
              <w:keepLines w:val="0"/>
              <w:pageBreakBefore w:val="0"/>
              <w:widowControl w:val="0"/>
              <w:kinsoku/>
              <w:wordWrap/>
              <w:overflowPunct/>
              <w:topLinePunct w:val="0"/>
              <w:autoSpaceDE/>
              <w:autoSpaceDN/>
              <w:bidi w:val="0"/>
              <w:adjustRightInd w:val="0"/>
              <w:snapToGrid w:val="0"/>
              <w:spacing w:before="120" w:beforeLines="50" w:after="157" w:afterLines="50"/>
              <w:ind w:left="0" w:leftChars="0"/>
              <w:textAlignment w:val="auto"/>
              <w:rPr>
                <w:b/>
                <w:color w:val="000000" w:themeColor="text1"/>
                <w:w w:val="100"/>
                <w:sz w:val="21"/>
                <w14:textFill>
                  <w14:solidFill>
                    <w14:schemeClr w14:val="tx1"/>
                  </w14:solidFill>
                </w14:textFill>
              </w:rPr>
            </w:pPr>
          </w:p>
          <w:p>
            <w:pPr>
              <w:pStyle w:val="84"/>
              <w:keepNext w:val="0"/>
              <w:keepLines w:val="0"/>
              <w:pageBreakBefore w:val="0"/>
              <w:widowControl w:val="0"/>
              <w:kinsoku/>
              <w:wordWrap/>
              <w:overflowPunct/>
              <w:topLinePunct w:val="0"/>
              <w:autoSpaceDE/>
              <w:autoSpaceDN/>
              <w:bidi w:val="0"/>
              <w:adjustRightInd w:val="0"/>
              <w:snapToGrid w:val="0"/>
              <w:spacing w:before="120" w:beforeLines="50" w:after="157" w:afterLines="50"/>
              <w:ind w:left="0" w:leftChars="0"/>
              <w:textAlignment w:val="auto"/>
              <w:rPr>
                <w:bCs/>
                <w:snapToGrid w:val="0"/>
                <w:color w:val="000000" w:themeColor="text1"/>
                <w:w w:val="100"/>
                <w:sz w:val="21"/>
                <w14:textFill>
                  <w14:solidFill>
                    <w14:schemeClr w14:val="tx1"/>
                  </w14:solidFill>
                </w14:textFill>
              </w:rPr>
            </w:pPr>
            <w:r>
              <w:rPr>
                <w:b/>
                <w:color w:val="000000" w:themeColor="text1"/>
                <w:w w:val="100"/>
                <w:sz w:val="21"/>
                <w14:textFill>
                  <w14:solidFill>
                    <w14:schemeClr w14:val="tx1"/>
                  </w14:solidFill>
                </w14:textFill>
              </w:rPr>
              <w:t>表</w:t>
            </w:r>
            <w:r>
              <w:rPr>
                <w:rFonts w:eastAsia="Times New Roman"/>
                <w:b/>
                <w:color w:val="000000" w:themeColor="text1"/>
                <w:w w:val="100"/>
                <w:sz w:val="21"/>
                <w14:textFill>
                  <w14:solidFill>
                    <w14:schemeClr w14:val="tx1"/>
                  </w14:solidFill>
                </w14:textFill>
              </w:rPr>
              <w:t>4-</w:t>
            </w:r>
            <w:r>
              <w:rPr>
                <w:rFonts w:hint="eastAsia"/>
                <w:b/>
                <w:color w:val="000000" w:themeColor="text1"/>
                <w:w w:val="100"/>
                <w:sz w:val="21"/>
                <w14:textFill>
                  <w14:solidFill>
                    <w14:schemeClr w14:val="tx1"/>
                  </w14:solidFill>
                </w14:textFill>
              </w:rPr>
              <w:t>15</w:t>
            </w:r>
            <w:r>
              <w:rPr>
                <w:b/>
                <w:color w:val="000000" w:themeColor="text1"/>
                <w:w w:val="100"/>
                <w:sz w:val="21"/>
                <w14:textFill>
                  <w14:solidFill>
                    <w14:schemeClr w14:val="tx1"/>
                  </w14:solidFill>
                </w14:textFill>
              </w:rPr>
              <w:t>建设项目危险废物汇总表</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0"/>
              <w:gridCol w:w="545"/>
              <w:gridCol w:w="912"/>
              <w:gridCol w:w="1329"/>
              <w:gridCol w:w="900"/>
              <w:gridCol w:w="752"/>
              <w:gridCol w:w="484"/>
              <w:gridCol w:w="703"/>
              <w:gridCol w:w="613"/>
              <w:gridCol w:w="525"/>
              <w:gridCol w:w="525"/>
              <w:gridCol w:w="8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pct"/>
                  <w:noWrap w:val="0"/>
                  <w:vAlign w:val="center"/>
                </w:tcPr>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序号</w:t>
                  </w:r>
                </w:p>
              </w:tc>
              <w:tc>
                <w:tcPr>
                  <w:tcW w:w="317" w:type="pct"/>
                  <w:noWrap w:val="0"/>
                  <w:vAlign w:val="center"/>
                </w:tcPr>
                <w:p>
                  <w:pPr>
                    <w:pStyle w:val="60"/>
                    <w:adjustRightInd w:val="0"/>
                    <w:snapToGrid w:val="0"/>
                    <w:jc w:val="center"/>
                    <w:rPr>
                      <w:rFonts w:ascii="Times New Roman" w:hAnsi="Times New Roman" w:cs="Times New Roman"/>
                      <w:b/>
                      <w:color w:val="000000" w:themeColor="text1"/>
                      <w:sz w:val="21"/>
                      <w:szCs w:val="21"/>
                      <w:highlight w:val="none"/>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危险废物名</w:t>
                  </w:r>
                </w:p>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称</w:t>
                  </w:r>
                </w:p>
              </w:tc>
              <w:tc>
                <w:tcPr>
                  <w:tcW w:w="532" w:type="pct"/>
                  <w:noWrap w:val="0"/>
                  <w:vAlign w:val="center"/>
                </w:tcPr>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危险废物类别</w:t>
                  </w:r>
                </w:p>
              </w:tc>
              <w:tc>
                <w:tcPr>
                  <w:tcW w:w="775" w:type="pct"/>
                  <w:noWrap w:val="0"/>
                  <w:vAlign w:val="center"/>
                </w:tcPr>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危险废物代码</w:t>
                  </w:r>
                </w:p>
              </w:tc>
              <w:tc>
                <w:tcPr>
                  <w:tcW w:w="525" w:type="pct"/>
                  <w:noWrap w:val="0"/>
                  <w:vAlign w:val="center"/>
                </w:tcPr>
                <w:p>
                  <w:pPr>
                    <w:pStyle w:val="60"/>
                    <w:adjustRightInd w:val="0"/>
                    <w:snapToGrid w:val="0"/>
                    <w:jc w:val="center"/>
                    <w:rPr>
                      <w:rFonts w:ascii="Times New Roman" w:hAnsi="Times New Roman" w:cs="Times New Roman"/>
                      <w:b/>
                      <w:color w:val="000000" w:themeColor="text1"/>
                      <w:sz w:val="21"/>
                      <w:szCs w:val="21"/>
                      <w:highlight w:val="none"/>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产生量</w:t>
                  </w:r>
                </w:p>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（t/a）</w:t>
                  </w:r>
                </w:p>
              </w:tc>
              <w:tc>
                <w:tcPr>
                  <w:tcW w:w="438" w:type="pct"/>
                  <w:noWrap w:val="0"/>
                  <w:vAlign w:val="center"/>
                </w:tcPr>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产生工序及装置</w:t>
                  </w:r>
                </w:p>
              </w:tc>
              <w:tc>
                <w:tcPr>
                  <w:tcW w:w="282" w:type="pct"/>
                  <w:noWrap w:val="0"/>
                  <w:vAlign w:val="center"/>
                </w:tcPr>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形态</w:t>
                  </w:r>
                </w:p>
              </w:tc>
              <w:tc>
                <w:tcPr>
                  <w:tcW w:w="410" w:type="pct"/>
                  <w:noWrap w:val="0"/>
                  <w:vAlign w:val="center"/>
                </w:tcPr>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主要成分</w:t>
                  </w:r>
                </w:p>
              </w:tc>
              <w:tc>
                <w:tcPr>
                  <w:tcW w:w="357" w:type="pct"/>
                  <w:noWrap w:val="0"/>
                  <w:vAlign w:val="center"/>
                </w:tcPr>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有害成分</w:t>
                  </w:r>
                </w:p>
              </w:tc>
              <w:tc>
                <w:tcPr>
                  <w:tcW w:w="306" w:type="pct"/>
                  <w:noWrap w:val="0"/>
                  <w:vAlign w:val="center"/>
                </w:tcPr>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产废周期</w:t>
                  </w:r>
                </w:p>
              </w:tc>
              <w:tc>
                <w:tcPr>
                  <w:tcW w:w="306" w:type="pct"/>
                  <w:noWrap w:val="0"/>
                  <w:vAlign w:val="center"/>
                </w:tcPr>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危险特性</w:t>
                  </w:r>
                </w:p>
              </w:tc>
              <w:tc>
                <w:tcPr>
                  <w:tcW w:w="467" w:type="pct"/>
                  <w:noWrap w:val="0"/>
                  <w:vAlign w:val="center"/>
                </w:tcPr>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污染防治措施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1</w:t>
                  </w:r>
                </w:p>
              </w:tc>
              <w:tc>
                <w:tcPr>
                  <w:tcW w:w="317"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t>废活性炭</w:t>
                  </w:r>
                </w:p>
              </w:tc>
              <w:tc>
                <w:tcPr>
                  <w:tcW w:w="532"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t>HW49</w:t>
                  </w:r>
                </w:p>
              </w:tc>
              <w:tc>
                <w:tcPr>
                  <w:tcW w:w="775" w:type="pct"/>
                  <w:noWrap w:val="0"/>
                  <w:vAlign w:val="center"/>
                </w:tcPr>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900-039-49</w:t>
                  </w:r>
                </w:p>
              </w:tc>
              <w:tc>
                <w:tcPr>
                  <w:tcW w:w="525" w:type="pct"/>
                  <w:noWrap w:val="0"/>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3.2</w:t>
                  </w:r>
                </w:p>
              </w:tc>
              <w:tc>
                <w:tcPr>
                  <w:tcW w:w="438"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废气处理设施</w:t>
                  </w:r>
                </w:p>
              </w:tc>
              <w:tc>
                <w:tcPr>
                  <w:tcW w:w="282"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固体</w:t>
                  </w:r>
                </w:p>
              </w:tc>
              <w:tc>
                <w:tcPr>
                  <w:tcW w:w="410"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有机物、活性炭</w:t>
                  </w:r>
                </w:p>
              </w:tc>
              <w:tc>
                <w:tcPr>
                  <w:tcW w:w="357"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有机物</w:t>
                  </w:r>
                </w:p>
              </w:tc>
              <w:tc>
                <w:tcPr>
                  <w:tcW w:w="306" w:type="pct"/>
                  <w:noWrap w:val="0"/>
                  <w:vAlign w:val="center"/>
                </w:tcPr>
                <w:p>
                  <w:pPr>
                    <w:pStyle w:val="84"/>
                    <w:snapToGrid w:val="0"/>
                    <w:ind w:left="0" w:leftChars="0"/>
                    <w:rPr>
                      <w:rFonts w:hint="default"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62天</w:t>
                  </w:r>
                </w:p>
              </w:tc>
              <w:tc>
                <w:tcPr>
                  <w:tcW w:w="306"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T</w:t>
                  </w:r>
                </w:p>
              </w:tc>
              <w:tc>
                <w:tcPr>
                  <w:tcW w:w="467" w:type="pct"/>
                  <w:vMerge w:val="restar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t>厂区规范分类暂存后委托有资质单位处置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2</w:t>
                  </w:r>
                </w:p>
              </w:tc>
              <w:tc>
                <w:tcPr>
                  <w:tcW w:w="317"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t>废机油</w:t>
                  </w:r>
                </w:p>
              </w:tc>
              <w:tc>
                <w:tcPr>
                  <w:tcW w:w="532"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t>HW08</w:t>
                  </w:r>
                </w:p>
              </w:tc>
              <w:tc>
                <w:tcPr>
                  <w:tcW w:w="775" w:type="pct"/>
                  <w:noWrap w:val="0"/>
                  <w:vAlign w:val="center"/>
                </w:tcPr>
                <w:p>
                  <w:pPr>
                    <w:pStyle w:val="60"/>
                    <w:adjustRightInd w:val="0"/>
                    <w:snapToGrid w:val="0"/>
                    <w:jc w:val="center"/>
                    <w:rPr>
                      <w:rFonts w:ascii="Times New Roman" w:hAnsi="Times New Roman" w:cs="Times New Roman"/>
                      <w:bCs/>
                      <w:snapToGrid w:val="0"/>
                      <w:color w:val="000000" w:themeColor="text1"/>
                      <w:sz w:val="21"/>
                      <w:szCs w:val="21"/>
                      <w:highlight w:val="none"/>
                      <w:lang w:val="en-US" w:eastAsia="zh-CN"/>
                      <w14:textFill>
                        <w14:solidFill>
                          <w14:schemeClr w14:val="tx1"/>
                        </w14:solidFill>
                      </w14:textFill>
                    </w:rPr>
                  </w:pPr>
                  <w:r>
                    <w:rPr>
                      <w:rFonts w:ascii="Times New Roman" w:hAnsi="Times New Roman" w:cs="Times New Roman"/>
                      <w:color w:val="000000" w:themeColor="text1"/>
                      <w:sz w:val="21"/>
                      <w:szCs w:val="21"/>
                      <w:highlight w:val="none"/>
                      <w:lang w:eastAsia="zh-CN"/>
                      <w14:textFill>
                        <w14:solidFill>
                          <w14:schemeClr w14:val="tx1"/>
                        </w14:solidFill>
                      </w14:textFill>
                    </w:rPr>
                    <w:t>900-249-08</w:t>
                  </w:r>
                </w:p>
              </w:tc>
              <w:tc>
                <w:tcPr>
                  <w:tcW w:w="525"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t>0.</w:t>
                  </w:r>
                  <w:r>
                    <w:rPr>
                      <w:rFonts w:hint="eastAsia"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t>00</w:t>
                  </w:r>
                  <w:r>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t>1</w:t>
                  </w:r>
                </w:p>
              </w:tc>
              <w:tc>
                <w:tcPr>
                  <w:tcW w:w="438" w:type="pct"/>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设备维护</w:t>
                  </w:r>
                </w:p>
              </w:tc>
              <w:tc>
                <w:tcPr>
                  <w:tcW w:w="282" w:type="pct"/>
                  <w:noWrap w:val="0"/>
                  <w:vAlign w:val="center"/>
                </w:tcPr>
                <w:p>
                  <w:pPr>
                    <w:pStyle w:val="84"/>
                    <w:snapToGrid w:val="0"/>
                    <w:ind w:left="0" w:leftChars="0"/>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液体</w:t>
                  </w:r>
                </w:p>
              </w:tc>
              <w:tc>
                <w:tcPr>
                  <w:tcW w:w="410" w:type="pct"/>
                  <w:noWrap w:val="0"/>
                  <w:vAlign w:val="center"/>
                </w:tcPr>
                <w:p>
                  <w:pPr>
                    <w:pStyle w:val="84"/>
                    <w:snapToGrid w:val="0"/>
                    <w:ind w:left="0" w:leftChars="0"/>
                    <w:rPr>
                      <w:rFonts w:hint="eastAsia"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废</w:t>
                  </w:r>
                  <w:r>
                    <w:rPr>
                      <w:rFonts w:hint="eastAsia"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t>机油</w:t>
                  </w:r>
                </w:p>
              </w:tc>
              <w:tc>
                <w:tcPr>
                  <w:tcW w:w="357" w:type="pct"/>
                  <w:noWrap w:val="0"/>
                  <w:vAlign w:val="center"/>
                </w:tcPr>
                <w:p>
                  <w:pPr>
                    <w:pStyle w:val="84"/>
                    <w:snapToGrid w:val="0"/>
                    <w:ind w:left="0" w:leftChars="0"/>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废</w:t>
                  </w:r>
                  <w:r>
                    <w:rPr>
                      <w:rFonts w:hint="eastAsia"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t>机油</w:t>
                  </w:r>
                </w:p>
              </w:tc>
              <w:tc>
                <w:tcPr>
                  <w:tcW w:w="306" w:type="pct"/>
                  <w:noWrap w:val="0"/>
                  <w:vAlign w:val="center"/>
                </w:tcPr>
                <w:p>
                  <w:pPr>
                    <w:pStyle w:val="84"/>
                    <w:snapToGrid w:val="0"/>
                    <w:ind w:left="0" w:leftChars="0"/>
                    <w:rPr>
                      <w:rFonts w:hint="eastAsia"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t>一年</w:t>
                  </w:r>
                </w:p>
              </w:tc>
              <w:tc>
                <w:tcPr>
                  <w:tcW w:w="306" w:type="pct"/>
                  <w:noWrap w:val="0"/>
                  <w:vAlign w:val="center"/>
                </w:tcPr>
                <w:p>
                  <w:pPr>
                    <w:adjustRightInd w:val="0"/>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r>
                    <w:rPr>
                      <w:rFonts w:ascii="Times New Roman" w:hAnsi="Times New Roman" w:cs="Times New Roman"/>
                      <w:color w:val="000000" w:themeColor="text1"/>
                      <w:sz w:val="21"/>
                      <w:szCs w:val="21"/>
                      <w:highlight w:val="none"/>
                      <w:lang w:eastAsia="zh-CN"/>
                      <w14:textFill>
                        <w14:solidFill>
                          <w14:schemeClr w14:val="tx1"/>
                        </w14:solidFill>
                      </w14:textFill>
                    </w:rPr>
                    <w:t>T</w:t>
                  </w:r>
                  <w:r>
                    <w:rPr>
                      <w:rFonts w:hint="eastAsia" w:ascii="Times New Roman" w:hAnsi="Times New Roman"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I</w:t>
                  </w:r>
                </w:p>
              </w:tc>
              <w:tc>
                <w:tcPr>
                  <w:tcW w:w="467" w:type="pct"/>
                  <w:vMerge w:val="continue"/>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pct"/>
                  <w:noWrap w:val="0"/>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3</w:t>
                  </w:r>
                </w:p>
              </w:tc>
              <w:tc>
                <w:tcPr>
                  <w:tcW w:w="317" w:type="pct"/>
                  <w:noWrap w:val="0"/>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废机油桶</w:t>
                  </w:r>
                </w:p>
              </w:tc>
              <w:tc>
                <w:tcPr>
                  <w:tcW w:w="532" w:type="pct"/>
                  <w:noWrap w:val="0"/>
                  <w:vAlign w:val="center"/>
                </w:tcPr>
                <w:p>
                  <w:pPr>
                    <w:pStyle w:val="84"/>
                    <w:snapToGrid w:val="0"/>
                    <w:ind w:left="0" w:leftChars="0"/>
                    <w:rPr>
                      <w:rFonts w:hint="eastAsia"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HW08</w:t>
                  </w:r>
                </w:p>
              </w:tc>
              <w:tc>
                <w:tcPr>
                  <w:tcW w:w="775" w:type="pct"/>
                  <w:noWrap w:val="0"/>
                  <w:vAlign w:val="center"/>
                </w:tcPr>
                <w:p>
                  <w:pPr>
                    <w:pStyle w:val="84"/>
                    <w:snapToGrid w:val="0"/>
                    <w:ind w:left="0" w:leftChars="0"/>
                    <w:rPr>
                      <w:rFonts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900-249-08</w:t>
                  </w:r>
                </w:p>
              </w:tc>
              <w:tc>
                <w:tcPr>
                  <w:tcW w:w="525" w:type="pct"/>
                  <w:noWrap w:val="0"/>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0.02</w:t>
                  </w:r>
                </w:p>
              </w:tc>
              <w:tc>
                <w:tcPr>
                  <w:tcW w:w="438" w:type="pct"/>
                  <w:noWrap w:val="0"/>
                  <w:vAlign w:val="center"/>
                </w:tcPr>
                <w:p>
                  <w:pPr>
                    <w:pStyle w:val="84"/>
                    <w:snapToGrid w:val="0"/>
                    <w:ind w:left="0" w:leftChars="0"/>
                    <w:rPr>
                      <w:rFonts w:hint="eastAsia"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设备维护</w:t>
                  </w:r>
                </w:p>
              </w:tc>
              <w:tc>
                <w:tcPr>
                  <w:tcW w:w="282" w:type="pct"/>
                  <w:noWrap w:val="0"/>
                  <w:vAlign w:val="center"/>
                </w:tcPr>
                <w:p>
                  <w:pPr>
                    <w:pStyle w:val="84"/>
                    <w:snapToGrid w:val="0"/>
                    <w:ind w:left="0" w:leftChars="0"/>
                    <w:rPr>
                      <w:rFonts w:hint="eastAsia"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t>固体</w:t>
                  </w:r>
                </w:p>
              </w:tc>
              <w:tc>
                <w:tcPr>
                  <w:tcW w:w="410" w:type="pct"/>
                  <w:noWrap w:val="0"/>
                  <w:vAlign w:val="center"/>
                </w:tcPr>
                <w:p>
                  <w:pPr>
                    <w:pStyle w:val="84"/>
                    <w:snapToGrid w:val="0"/>
                    <w:ind w:left="0" w:leftChars="0"/>
                    <w:rPr>
                      <w:rFonts w:hint="eastAsia"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t>机油</w:t>
                  </w:r>
                  <w:r>
                    <w:rPr>
                      <w:rFonts w:hint="eastAsia" w:cs="Times New Roman"/>
                      <w:bCs/>
                      <w:snapToGrid w:val="0"/>
                      <w:color w:val="000000" w:themeColor="text1"/>
                      <w:w w:val="100"/>
                      <w:sz w:val="21"/>
                      <w:szCs w:val="21"/>
                      <w:highlight w:val="none"/>
                      <w:lang w:val="en-US" w:eastAsia="zh-CN"/>
                      <w14:textFill>
                        <w14:solidFill>
                          <w14:schemeClr w14:val="tx1"/>
                        </w14:solidFill>
                      </w14:textFill>
                    </w:rPr>
                    <w:t>、</w:t>
                  </w:r>
                  <w:r>
                    <w:rPr>
                      <w:rFonts w:hint="eastAsia" w:ascii="Times New Roman" w:hAnsi="Times New Roman" w:cs="Times New Roman"/>
                      <w:bCs/>
                      <w:snapToGrid w:val="0"/>
                      <w:color w:val="000000" w:themeColor="text1"/>
                      <w:w w:val="100"/>
                      <w:sz w:val="21"/>
                      <w:szCs w:val="21"/>
                      <w:highlight w:val="none"/>
                      <w:lang w:val="en-US"/>
                      <w14:textFill>
                        <w14:solidFill>
                          <w14:schemeClr w14:val="tx1"/>
                        </w14:solidFill>
                      </w14:textFill>
                    </w:rPr>
                    <w:t>铁</w:t>
                  </w:r>
                </w:p>
              </w:tc>
              <w:tc>
                <w:tcPr>
                  <w:tcW w:w="357" w:type="pct"/>
                  <w:noWrap w:val="0"/>
                  <w:vAlign w:val="center"/>
                </w:tcPr>
                <w:p>
                  <w:pPr>
                    <w:pStyle w:val="84"/>
                    <w:snapToGrid w:val="0"/>
                    <w:ind w:left="0" w:leftChars="0"/>
                    <w:rPr>
                      <w:rFonts w:hint="eastAsia"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t>机油</w:t>
                  </w:r>
                </w:p>
              </w:tc>
              <w:tc>
                <w:tcPr>
                  <w:tcW w:w="306" w:type="pct"/>
                  <w:noWrap w:val="0"/>
                  <w:vAlign w:val="center"/>
                </w:tcPr>
                <w:p>
                  <w:pPr>
                    <w:pStyle w:val="84"/>
                    <w:snapToGrid w:val="0"/>
                    <w:ind w:left="0" w:leftChars="0"/>
                    <w:rPr>
                      <w:rFonts w:hint="eastAsia"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t>一年</w:t>
                  </w:r>
                </w:p>
              </w:tc>
              <w:tc>
                <w:tcPr>
                  <w:tcW w:w="306" w:type="pct"/>
                  <w:noWrap w:val="0"/>
                  <w:vAlign w:val="center"/>
                </w:tcPr>
                <w:p>
                  <w:pPr>
                    <w:adjustRightInd w:val="0"/>
                    <w:snapToGrid w:val="0"/>
                    <w:ind w:left="0" w:leftChars="0"/>
                    <w:rPr>
                      <w:rFonts w:hint="eastAsia"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ascii="Times New Roman" w:hAnsi="Times New Roman" w:cs="Times New Roman"/>
                      <w:color w:val="000000" w:themeColor="text1"/>
                      <w:sz w:val="21"/>
                      <w:szCs w:val="21"/>
                      <w:highlight w:val="none"/>
                      <w:lang w:eastAsia="zh-CN"/>
                      <w14:textFill>
                        <w14:solidFill>
                          <w14:schemeClr w14:val="tx1"/>
                        </w14:solidFill>
                      </w14:textFill>
                    </w:rPr>
                    <w:t>T</w:t>
                  </w:r>
                  <w:r>
                    <w:rPr>
                      <w:rFonts w:hint="eastAsia" w:ascii="Times New Roman" w:hAnsi="Times New Roman"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I</w:t>
                  </w:r>
                </w:p>
              </w:tc>
              <w:tc>
                <w:tcPr>
                  <w:tcW w:w="467" w:type="pct"/>
                  <w:vMerge w:val="continue"/>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4</w:t>
                  </w:r>
                </w:p>
              </w:tc>
              <w:tc>
                <w:tcPr>
                  <w:tcW w:w="317"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铝渣</w:t>
                  </w:r>
                </w:p>
              </w:tc>
              <w:tc>
                <w:tcPr>
                  <w:tcW w:w="532" w:type="pct"/>
                  <w:noWrap w:val="0"/>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HW48</w:t>
                  </w:r>
                </w:p>
              </w:tc>
              <w:tc>
                <w:tcPr>
                  <w:tcW w:w="775" w:type="pct"/>
                  <w:noWrap w:val="0"/>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321-026-48</w:t>
                  </w:r>
                </w:p>
              </w:tc>
              <w:tc>
                <w:tcPr>
                  <w:tcW w:w="525"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2</w:t>
                  </w:r>
                </w:p>
              </w:tc>
              <w:tc>
                <w:tcPr>
                  <w:tcW w:w="438" w:type="pct"/>
                  <w:noWrap w:val="0"/>
                  <w:vAlign w:val="center"/>
                </w:tcPr>
                <w:p>
                  <w:pPr>
                    <w:pStyle w:val="84"/>
                    <w:snapToGrid w:val="0"/>
                    <w:ind w:left="0" w:leftChars="0"/>
                    <w:rPr>
                      <w:rFonts w:hint="eastAsia"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熔化</w:t>
                  </w:r>
                </w:p>
              </w:tc>
              <w:tc>
                <w:tcPr>
                  <w:tcW w:w="282" w:type="pct"/>
                  <w:noWrap w:val="0"/>
                  <w:vAlign w:val="center"/>
                </w:tcPr>
                <w:p>
                  <w:pPr>
                    <w:pStyle w:val="84"/>
                    <w:snapToGrid w:val="0"/>
                    <w:ind w:left="0" w:leftChars="0"/>
                    <w:rPr>
                      <w:rFonts w:hint="default"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固体</w:t>
                  </w:r>
                </w:p>
              </w:tc>
              <w:tc>
                <w:tcPr>
                  <w:tcW w:w="410" w:type="pct"/>
                  <w:noWrap w:val="0"/>
                  <w:vAlign w:val="center"/>
                </w:tcPr>
                <w:p>
                  <w:pPr>
                    <w:pStyle w:val="84"/>
                    <w:snapToGrid w:val="0"/>
                    <w:ind w:left="0" w:leftChars="0"/>
                    <w:rPr>
                      <w:rFonts w:hint="default"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铝</w:t>
                  </w:r>
                </w:p>
              </w:tc>
              <w:tc>
                <w:tcPr>
                  <w:tcW w:w="357" w:type="pct"/>
                  <w:noWrap w:val="0"/>
                  <w:vAlign w:val="center"/>
                </w:tcPr>
                <w:p>
                  <w:pPr>
                    <w:pStyle w:val="84"/>
                    <w:snapToGrid w:val="0"/>
                    <w:ind w:left="0" w:leftChars="0"/>
                    <w:rPr>
                      <w:rFonts w:hint="default"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铝</w:t>
                  </w:r>
                </w:p>
              </w:tc>
              <w:tc>
                <w:tcPr>
                  <w:tcW w:w="306" w:type="pct"/>
                  <w:noWrap w:val="0"/>
                  <w:vAlign w:val="center"/>
                </w:tcPr>
                <w:p>
                  <w:pPr>
                    <w:pStyle w:val="84"/>
                    <w:snapToGrid w:val="0"/>
                    <w:ind w:left="0" w:leftChars="0"/>
                    <w:rPr>
                      <w:rFonts w:hint="default"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一年</w:t>
                  </w:r>
                </w:p>
              </w:tc>
              <w:tc>
                <w:tcPr>
                  <w:tcW w:w="306" w:type="pct"/>
                  <w:noWrap w:val="0"/>
                  <w:vAlign w:val="center"/>
                </w:tcPr>
                <w:p>
                  <w:pPr>
                    <w:adjustRightInd w:val="0"/>
                    <w:snapToGrid w:val="0"/>
                    <w:ind w:left="0" w:leftChars="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R</w:t>
                  </w:r>
                </w:p>
              </w:tc>
              <w:tc>
                <w:tcPr>
                  <w:tcW w:w="467" w:type="pct"/>
                  <w:vMerge w:val="continue"/>
                  <w:noWrap w:val="0"/>
                  <w:vAlign w:val="center"/>
                </w:tcPr>
                <w:p>
                  <w:pPr>
                    <w:pStyle w:val="84"/>
                    <w:snapToGrid w:val="0"/>
                    <w:ind w:left="0" w:leftChars="0"/>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5</w:t>
                  </w:r>
                </w:p>
              </w:tc>
              <w:tc>
                <w:tcPr>
                  <w:tcW w:w="317"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除尘器收集的铝烟尘</w:t>
                  </w:r>
                </w:p>
              </w:tc>
              <w:tc>
                <w:tcPr>
                  <w:tcW w:w="532"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HW48</w:t>
                  </w:r>
                </w:p>
              </w:tc>
              <w:tc>
                <w:tcPr>
                  <w:tcW w:w="775"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321-034-48</w:t>
                  </w:r>
                </w:p>
              </w:tc>
              <w:tc>
                <w:tcPr>
                  <w:tcW w:w="525"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0.1701</w:t>
                  </w:r>
                </w:p>
              </w:tc>
              <w:tc>
                <w:tcPr>
                  <w:tcW w:w="438"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废气处理</w:t>
                  </w:r>
                </w:p>
              </w:tc>
              <w:tc>
                <w:tcPr>
                  <w:tcW w:w="282"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固体</w:t>
                  </w:r>
                </w:p>
              </w:tc>
              <w:tc>
                <w:tcPr>
                  <w:tcW w:w="410"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铝灰分</w:t>
                  </w:r>
                </w:p>
              </w:tc>
              <w:tc>
                <w:tcPr>
                  <w:tcW w:w="357"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铝灰分</w:t>
                  </w:r>
                </w:p>
              </w:tc>
              <w:tc>
                <w:tcPr>
                  <w:tcW w:w="306"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一年</w:t>
                  </w:r>
                </w:p>
              </w:tc>
              <w:tc>
                <w:tcPr>
                  <w:tcW w:w="306"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T、R</w:t>
                  </w:r>
                </w:p>
              </w:tc>
              <w:tc>
                <w:tcPr>
                  <w:tcW w:w="467" w:type="pct"/>
                  <w:vMerge w:val="continue"/>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6</w:t>
                  </w:r>
                </w:p>
              </w:tc>
              <w:tc>
                <w:tcPr>
                  <w:tcW w:w="317"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脱模剂废液</w:t>
                  </w:r>
                </w:p>
              </w:tc>
              <w:tc>
                <w:tcPr>
                  <w:tcW w:w="532"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HW09</w:t>
                  </w:r>
                </w:p>
              </w:tc>
              <w:tc>
                <w:tcPr>
                  <w:tcW w:w="775"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900-007-09</w:t>
                  </w:r>
                </w:p>
              </w:tc>
              <w:tc>
                <w:tcPr>
                  <w:tcW w:w="525"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0.25</w:t>
                  </w:r>
                </w:p>
              </w:tc>
              <w:tc>
                <w:tcPr>
                  <w:tcW w:w="438"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压铸</w:t>
                  </w:r>
                </w:p>
              </w:tc>
              <w:tc>
                <w:tcPr>
                  <w:tcW w:w="282"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液体</w:t>
                  </w:r>
                </w:p>
              </w:tc>
              <w:tc>
                <w:tcPr>
                  <w:tcW w:w="410"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矿物油</w:t>
                  </w:r>
                </w:p>
              </w:tc>
              <w:tc>
                <w:tcPr>
                  <w:tcW w:w="357"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矿物油</w:t>
                  </w:r>
                </w:p>
              </w:tc>
              <w:tc>
                <w:tcPr>
                  <w:tcW w:w="306"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每天</w:t>
                  </w:r>
                </w:p>
              </w:tc>
              <w:tc>
                <w:tcPr>
                  <w:tcW w:w="306"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T</w:t>
                  </w:r>
                </w:p>
              </w:tc>
              <w:tc>
                <w:tcPr>
                  <w:tcW w:w="467" w:type="pct"/>
                  <w:vMerge w:val="continue"/>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7</w:t>
                  </w:r>
                </w:p>
              </w:tc>
              <w:tc>
                <w:tcPr>
                  <w:tcW w:w="317"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废包装桶</w:t>
                  </w:r>
                </w:p>
              </w:tc>
              <w:tc>
                <w:tcPr>
                  <w:tcW w:w="532"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HW49</w:t>
                  </w:r>
                </w:p>
              </w:tc>
              <w:tc>
                <w:tcPr>
                  <w:tcW w:w="775"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900-041-49</w:t>
                  </w:r>
                </w:p>
              </w:tc>
              <w:tc>
                <w:tcPr>
                  <w:tcW w:w="525"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0.4</w:t>
                  </w:r>
                </w:p>
              </w:tc>
              <w:tc>
                <w:tcPr>
                  <w:tcW w:w="438"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包装</w:t>
                  </w:r>
                </w:p>
              </w:tc>
              <w:tc>
                <w:tcPr>
                  <w:tcW w:w="282"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固体</w:t>
                  </w:r>
                </w:p>
              </w:tc>
              <w:tc>
                <w:tcPr>
                  <w:tcW w:w="410"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脱模剂</w:t>
                  </w:r>
                </w:p>
              </w:tc>
              <w:tc>
                <w:tcPr>
                  <w:tcW w:w="357"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矿物油</w:t>
                  </w:r>
                </w:p>
              </w:tc>
              <w:tc>
                <w:tcPr>
                  <w:tcW w:w="306"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每周</w:t>
                  </w:r>
                </w:p>
              </w:tc>
              <w:tc>
                <w:tcPr>
                  <w:tcW w:w="306" w:type="pct"/>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T，I</w:t>
                  </w:r>
                </w:p>
              </w:tc>
              <w:tc>
                <w:tcPr>
                  <w:tcW w:w="467" w:type="pct"/>
                  <w:vMerge w:val="continue"/>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8</w:t>
                  </w:r>
                </w:p>
              </w:tc>
              <w:tc>
                <w:tcPr>
                  <w:tcW w:w="317"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废切削液</w:t>
                  </w:r>
                </w:p>
              </w:tc>
              <w:tc>
                <w:tcPr>
                  <w:tcW w:w="532"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HW09</w:t>
                  </w:r>
                </w:p>
              </w:tc>
              <w:tc>
                <w:tcPr>
                  <w:tcW w:w="775"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900-006-09</w:t>
                  </w:r>
                </w:p>
              </w:tc>
              <w:tc>
                <w:tcPr>
                  <w:tcW w:w="525"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0.1</w:t>
                  </w:r>
                </w:p>
              </w:tc>
              <w:tc>
                <w:tcPr>
                  <w:tcW w:w="438"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机加工</w:t>
                  </w:r>
                </w:p>
              </w:tc>
              <w:tc>
                <w:tcPr>
                  <w:tcW w:w="282"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液态</w:t>
                  </w:r>
                </w:p>
              </w:tc>
              <w:tc>
                <w:tcPr>
                  <w:tcW w:w="410"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切削液</w:t>
                  </w:r>
                </w:p>
              </w:tc>
              <w:tc>
                <w:tcPr>
                  <w:tcW w:w="357"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切削液</w:t>
                  </w:r>
                </w:p>
              </w:tc>
              <w:tc>
                <w:tcPr>
                  <w:tcW w:w="306"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每年</w:t>
                  </w:r>
                </w:p>
              </w:tc>
              <w:tc>
                <w:tcPr>
                  <w:tcW w:w="306"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T</w:t>
                  </w:r>
                </w:p>
              </w:tc>
              <w:tc>
                <w:tcPr>
                  <w:tcW w:w="467" w:type="pct"/>
                  <w:vMerge w:val="continue"/>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0"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9</w:t>
                  </w:r>
                </w:p>
              </w:tc>
              <w:tc>
                <w:tcPr>
                  <w:tcW w:w="317"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沉淀池残渣</w:t>
                  </w:r>
                </w:p>
              </w:tc>
              <w:tc>
                <w:tcPr>
                  <w:tcW w:w="532" w:type="pct"/>
                  <w:noWrap w:val="0"/>
                  <w:vAlign w:val="center"/>
                </w:tcPr>
                <w:p>
                  <w:pPr>
                    <w:pStyle w:val="84"/>
                    <w:snapToGrid w:val="0"/>
                    <w:ind w:left="0" w:leftChars="0"/>
                    <w:rPr>
                      <w:rFonts w:hint="eastAsia" w:ascii="Times New Roman" w:hAnsi="Times New Roman" w:eastAsia="宋体" w:cs="Times New Roman"/>
                      <w:bCs/>
                      <w:snapToGrid w:val="0"/>
                      <w:color w:val="000000" w:themeColor="text1"/>
                      <w:w w:val="100"/>
                      <w:kern w:val="2"/>
                      <w:sz w:val="21"/>
                      <w:szCs w:val="21"/>
                      <w:highlight w:val="none"/>
                      <w:lang w:val="en-US" w:eastAsia="zh-CN" w:bidi="ar-SA"/>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HW09</w:t>
                  </w:r>
                </w:p>
              </w:tc>
              <w:tc>
                <w:tcPr>
                  <w:tcW w:w="775" w:type="pct"/>
                  <w:noWrap w:val="0"/>
                  <w:vAlign w:val="center"/>
                </w:tcPr>
                <w:p>
                  <w:pPr>
                    <w:pStyle w:val="84"/>
                    <w:snapToGrid w:val="0"/>
                    <w:ind w:left="0" w:leftChars="0"/>
                    <w:rPr>
                      <w:rFonts w:hint="eastAsia" w:ascii="Times New Roman" w:hAnsi="Times New Roman" w:eastAsia="宋体" w:cs="Times New Roman"/>
                      <w:bCs/>
                      <w:snapToGrid w:val="0"/>
                      <w:color w:val="000000" w:themeColor="text1"/>
                      <w:w w:val="100"/>
                      <w:kern w:val="2"/>
                      <w:sz w:val="21"/>
                      <w:szCs w:val="21"/>
                      <w:highlight w:val="none"/>
                      <w:lang w:val="en-US" w:eastAsia="zh-CN" w:bidi="ar-SA"/>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900-007-09</w:t>
                  </w:r>
                </w:p>
              </w:tc>
              <w:tc>
                <w:tcPr>
                  <w:tcW w:w="525" w:type="pct"/>
                  <w:noWrap w:val="0"/>
                  <w:vAlign w:val="center"/>
                </w:tcPr>
                <w:p>
                  <w:pPr>
                    <w:pStyle w:val="84"/>
                    <w:snapToGrid w:val="0"/>
                    <w:ind w:left="0" w:leftChars="0"/>
                    <w:rPr>
                      <w:rFonts w:hint="eastAsia" w:ascii="Times New Roman" w:hAnsi="Times New Roman" w:eastAsia="宋体" w:cs="Times New Roman"/>
                      <w:bCs/>
                      <w:snapToGrid w:val="0"/>
                      <w:color w:val="000000" w:themeColor="text1"/>
                      <w:w w:val="100"/>
                      <w:kern w:val="2"/>
                      <w:sz w:val="21"/>
                      <w:szCs w:val="21"/>
                      <w:highlight w:val="none"/>
                      <w:lang w:val="en-US" w:eastAsia="zh-CN" w:bidi="ar-SA"/>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0.1</w:t>
                  </w:r>
                </w:p>
              </w:tc>
              <w:tc>
                <w:tcPr>
                  <w:tcW w:w="438"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水处理</w:t>
                  </w:r>
                </w:p>
              </w:tc>
              <w:tc>
                <w:tcPr>
                  <w:tcW w:w="282"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固态</w:t>
                  </w:r>
                </w:p>
              </w:tc>
              <w:tc>
                <w:tcPr>
                  <w:tcW w:w="410"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切削液、铝渣</w:t>
                  </w:r>
                </w:p>
              </w:tc>
              <w:tc>
                <w:tcPr>
                  <w:tcW w:w="357"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切削液</w:t>
                  </w:r>
                </w:p>
              </w:tc>
              <w:tc>
                <w:tcPr>
                  <w:tcW w:w="306"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每年</w:t>
                  </w:r>
                </w:p>
              </w:tc>
              <w:tc>
                <w:tcPr>
                  <w:tcW w:w="306" w:type="pct"/>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T</w:t>
                  </w:r>
                </w:p>
              </w:tc>
              <w:tc>
                <w:tcPr>
                  <w:tcW w:w="467" w:type="pct"/>
                  <w:vMerge w:val="continue"/>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p>
              </w:tc>
            </w:tr>
          </w:tbl>
          <w:p>
            <w:pPr>
              <w:pStyle w:val="84"/>
              <w:keepNext w:val="0"/>
              <w:keepLines w:val="0"/>
              <w:pageBreakBefore w:val="0"/>
              <w:widowControl w:val="0"/>
              <w:kinsoku/>
              <w:wordWrap/>
              <w:overflowPunct/>
              <w:topLinePunct w:val="0"/>
              <w:autoSpaceDE/>
              <w:autoSpaceDN/>
              <w:bidi w:val="0"/>
              <w:adjustRightInd w:val="0"/>
              <w:snapToGrid/>
              <w:spacing w:before="157" w:beforeLines="50" w:after="157" w:afterLines="50"/>
              <w:ind w:left="0" w:leftChars="0"/>
              <w:textAlignment w:val="auto"/>
              <w:rPr>
                <w:b/>
                <w:color w:val="000000" w:themeColor="text1"/>
                <w:w w:val="100"/>
                <w:sz w:val="21"/>
                <w14:textFill>
                  <w14:solidFill>
                    <w14:schemeClr w14:val="tx1"/>
                  </w14:solidFill>
                </w14:textFill>
              </w:rPr>
            </w:pPr>
            <w:r>
              <w:rPr>
                <w:rFonts w:hint="eastAsia"/>
                <w:b/>
                <w:color w:val="000000" w:themeColor="text1"/>
                <w:w w:val="100"/>
                <w:sz w:val="21"/>
                <w14:textFill>
                  <w14:solidFill>
                    <w14:schemeClr w14:val="tx1"/>
                  </w14:solidFill>
                </w14:textFill>
              </w:rPr>
              <w:t>表</w:t>
            </w:r>
            <w:r>
              <w:rPr>
                <w:b/>
                <w:color w:val="000000" w:themeColor="text1"/>
                <w:w w:val="100"/>
                <w:sz w:val="21"/>
                <w14:textFill>
                  <w14:solidFill>
                    <w14:schemeClr w14:val="tx1"/>
                  </w14:solidFill>
                </w14:textFill>
              </w:rPr>
              <w:t>4-</w:t>
            </w:r>
            <w:r>
              <w:rPr>
                <w:rFonts w:hint="eastAsia"/>
                <w:b/>
                <w:color w:val="000000" w:themeColor="text1"/>
                <w:w w:val="100"/>
                <w:sz w:val="21"/>
                <w14:textFill>
                  <w14:solidFill>
                    <w14:schemeClr w14:val="tx1"/>
                  </w14:solidFill>
                </w14:textFill>
              </w:rPr>
              <w:t>16建设项目危险废物贮存场所（设施）基本情况表</w:t>
            </w:r>
          </w:p>
          <w:tbl>
            <w:tblPr>
              <w:tblStyle w:val="33"/>
              <w:tblW w:w="497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41"/>
              <w:gridCol w:w="795"/>
              <w:gridCol w:w="774"/>
              <w:gridCol w:w="897"/>
              <w:gridCol w:w="1135"/>
              <w:gridCol w:w="732"/>
              <w:gridCol w:w="1016"/>
              <w:gridCol w:w="1011"/>
              <w:gridCol w:w="959"/>
              <w:gridCol w:w="9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 w:type="pct"/>
                  <w:vAlign w:val="center"/>
                </w:tcPr>
                <w:p>
                  <w:pPr>
                    <w:pStyle w:val="84"/>
                    <w:snapToGrid w:val="0"/>
                    <w:ind w:left="0" w:leftChars="0"/>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t>序号</w:t>
                  </w:r>
                </w:p>
              </w:tc>
              <w:tc>
                <w:tcPr>
                  <w:tcW w:w="466" w:type="pct"/>
                  <w:vAlign w:val="center"/>
                </w:tcPr>
                <w:p>
                  <w:pPr>
                    <w:pStyle w:val="84"/>
                    <w:snapToGrid w:val="0"/>
                    <w:ind w:left="0" w:leftChars="0"/>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t>贮存场所（设施）名称</w:t>
                  </w:r>
                </w:p>
              </w:tc>
              <w:tc>
                <w:tcPr>
                  <w:tcW w:w="453" w:type="pct"/>
                  <w:vAlign w:val="center"/>
                </w:tcPr>
                <w:p>
                  <w:pPr>
                    <w:pStyle w:val="84"/>
                    <w:snapToGrid w:val="0"/>
                    <w:ind w:left="0" w:leftChars="0"/>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t>危险废物名称</w:t>
                  </w:r>
                </w:p>
              </w:tc>
              <w:tc>
                <w:tcPr>
                  <w:tcW w:w="525" w:type="pct"/>
                  <w:vAlign w:val="center"/>
                </w:tcPr>
                <w:p>
                  <w:pPr>
                    <w:pStyle w:val="84"/>
                    <w:snapToGrid w:val="0"/>
                    <w:ind w:left="0" w:leftChars="0"/>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t>危险废物类别</w:t>
                  </w:r>
                </w:p>
              </w:tc>
              <w:tc>
                <w:tcPr>
                  <w:tcW w:w="664" w:type="pct"/>
                  <w:vAlign w:val="center"/>
                </w:tcPr>
                <w:p>
                  <w:pPr>
                    <w:pStyle w:val="84"/>
                    <w:snapToGrid w:val="0"/>
                    <w:ind w:left="0" w:leftChars="0"/>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t>危险废物代码</w:t>
                  </w:r>
                </w:p>
              </w:tc>
              <w:tc>
                <w:tcPr>
                  <w:tcW w:w="429" w:type="pct"/>
                  <w:vAlign w:val="center"/>
                </w:tcPr>
                <w:p>
                  <w:pPr>
                    <w:pStyle w:val="84"/>
                    <w:snapToGrid w:val="0"/>
                    <w:ind w:left="0" w:leftChars="0"/>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t>位置</w:t>
                  </w:r>
                </w:p>
              </w:tc>
              <w:tc>
                <w:tcPr>
                  <w:tcW w:w="595" w:type="pct"/>
                  <w:vAlign w:val="center"/>
                </w:tcPr>
                <w:p>
                  <w:pPr>
                    <w:pStyle w:val="84"/>
                    <w:snapToGrid w:val="0"/>
                    <w:ind w:left="0" w:leftChars="0"/>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t>占地面积</w:t>
                  </w:r>
                </w:p>
              </w:tc>
              <w:tc>
                <w:tcPr>
                  <w:tcW w:w="591" w:type="pct"/>
                  <w:vAlign w:val="center"/>
                </w:tcPr>
                <w:p>
                  <w:pPr>
                    <w:pStyle w:val="84"/>
                    <w:snapToGrid w:val="0"/>
                    <w:ind w:left="0" w:leftChars="0"/>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t>贮存方式</w:t>
                  </w:r>
                </w:p>
              </w:tc>
              <w:tc>
                <w:tcPr>
                  <w:tcW w:w="562" w:type="pct"/>
                  <w:vAlign w:val="center"/>
                </w:tcPr>
                <w:p>
                  <w:pPr>
                    <w:pStyle w:val="84"/>
                    <w:snapToGrid w:val="0"/>
                    <w:ind w:left="0" w:leftChars="0"/>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t>贮存能力</w:t>
                  </w:r>
                </w:p>
                <w:p>
                  <w:pPr>
                    <w:pStyle w:val="84"/>
                    <w:snapToGrid w:val="0"/>
                    <w:ind w:left="0" w:leftChars="0"/>
                    <w:rPr>
                      <w:rFonts w:hint="default" w:ascii="Times New Roman" w:hAnsi="Times New Roman" w:eastAsia="宋体" w:cs="Times New Roman"/>
                      <w:b/>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
                      <w:snapToGrid w:val="0"/>
                      <w:color w:val="000000" w:themeColor="text1"/>
                      <w:w w:val="100"/>
                      <w:sz w:val="21"/>
                      <w:szCs w:val="21"/>
                      <w:highlight w:val="none"/>
                      <w:lang w:val="en-US" w:eastAsia="zh-CN"/>
                      <w14:textFill>
                        <w14:solidFill>
                          <w14:schemeClr w14:val="tx1"/>
                        </w14:solidFill>
                      </w14:textFill>
                    </w:rPr>
                    <w:t>（t/a）</w:t>
                  </w:r>
                </w:p>
              </w:tc>
              <w:tc>
                <w:tcPr>
                  <w:tcW w:w="569" w:type="pct"/>
                  <w:vAlign w:val="center"/>
                </w:tcPr>
                <w:p>
                  <w:pPr>
                    <w:pStyle w:val="84"/>
                    <w:snapToGrid w:val="0"/>
                    <w:ind w:left="0" w:leftChars="0"/>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
                      <w:snapToGrid w:val="0"/>
                      <w:color w:val="000000" w:themeColor="text1"/>
                      <w:w w:val="100"/>
                      <w:sz w:val="21"/>
                      <w:szCs w:val="21"/>
                      <w:highlight w:val="none"/>
                      <w:lang w:val="en-US"/>
                      <w14:textFill>
                        <w14:solidFill>
                          <w14:schemeClr w14:val="tx1"/>
                        </w14:solidFill>
                      </w14:textFill>
                    </w:rPr>
                    <w:t>贮存周期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1</w:t>
                  </w:r>
                </w:p>
              </w:tc>
              <w:tc>
                <w:tcPr>
                  <w:tcW w:w="466" w:type="pct"/>
                  <w:vMerge w:val="restar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危废间</w:t>
                  </w:r>
                </w:p>
              </w:tc>
              <w:tc>
                <w:tcPr>
                  <w:tcW w:w="453"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废活性炭</w:t>
                  </w:r>
                </w:p>
              </w:tc>
              <w:tc>
                <w:tcPr>
                  <w:tcW w:w="525"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HW49</w:t>
                  </w:r>
                </w:p>
              </w:tc>
              <w:tc>
                <w:tcPr>
                  <w:tcW w:w="664" w:type="pct"/>
                  <w:vAlign w:val="center"/>
                </w:tcPr>
                <w:p>
                  <w:pPr>
                    <w:pStyle w:val="60"/>
                    <w:adjustRightInd w:val="0"/>
                    <w:snapToGrid w:val="0"/>
                    <w:jc w:val="cente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900-039-49</w:t>
                  </w:r>
                </w:p>
              </w:tc>
              <w:tc>
                <w:tcPr>
                  <w:tcW w:w="429" w:type="pct"/>
                  <w:vMerge w:val="restar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厂区西南</w:t>
                  </w:r>
                </w:p>
              </w:tc>
              <w:tc>
                <w:tcPr>
                  <w:tcW w:w="595" w:type="pct"/>
                  <w:vMerge w:val="restar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20</w:t>
                  </w: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m</w:t>
                  </w:r>
                  <w:r>
                    <w:rPr>
                      <w:rFonts w:hint="default" w:ascii="Times New Roman" w:hAnsi="Times New Roman" w:eastAsia="宋体" w:cs="Times New Roman"/>
                      <w:bCs/>
                      <w:snapToGrid w:val="0"/>
                      <w:color w:val="000000" w:themeColor="text1"/>
                      <w:w w:val="100"/>
                      <w:sz w:val="21"/>
                      <w:szCs w:val="21"/>
                      <w:highlight w:val="none"/>
                      <w:vertAlign w:val="superscript"/>
                      <w:lang w:val="en-US"/>
                      <w14:textFill>
                        <w14:solidFill>
                          <w14:schemeClr w14:val="tx1"/>
                        </w14:solidFill>
                      </w14:textFill>
                    </w:rPr>
                    <w:t>2</w:t>
                  </w:r>
                </w:p>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袋装</w:t>
                  </w:r>
                </w:p>
              </w:tc>
              <w:tc>
                <w:tcPr>
                  <w:tcW w:w="562"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3.2</w:t>
                  </w:r>
                </w:p>
              </w:tc>
              <w:tc>
                <w:tcPr>
                  <w:tcW w:w="569"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一年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2</w:t>
                  </w:r>
                </w:p>
              </w:tc>
              <w:tc>
                <w:tcPr>
                  <w:tcW w:w="466"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453"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废机油</w:t>
                  </w:r>
                </w:p>
              </w:tc>
              <w:tc>
                <w:tcPr>
                  <w:tcW w:w="525"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HW08</w:t>
                  </w:r>
                </w:p>
              </w:tc>
              <w:tc>
                <w:tcPr>
                  <w:tcW w:w="664" w:type="pct"/>
                  <w:vAlign w:val="center"/>
                </w:tcPr>
                <w:p>
                  <w:pPr>
                    <w:pStyle w:val="60"/>
                    <w:adjustRightInd w:val="0"/>
                    <w:snapToGrid w:val="0"/>
                    <w:jc w:val="cente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900-249-08</w:t>
                  </w:r>
                </w:p>
              </w:tc>
              <w:tc>
                <w:tcPr>
                  <w:tcW w:w="429"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5"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桶装</w:t>
                  </w:r>
                </w:p>
              </w:tc>
              <w:tc>
                <w:tcPr>
                  <w:tcW w:w="562"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0.</w:t>
                  </w: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00</w:t>
                  </w: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1</w:t>
                  </w:r>
                </w:p>
              </w:tc>
              <w:tc>
                <w:tcPr>
                  <w:tcW w:w="569"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一年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3</w:t>
                  </w:r>
                </w:p>
              </w:tc>
              <w:tc>
                <w:tcPr>
                  <w:tcW w:w="466"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453"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废机油桶</w:t>
                  </w:r>
                </w:p>
              </w:tc>
              <w:tc>
                <w:tcPr>
                  <w:tcW w:w="525"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HW08</w:t>
                  </w:r>
                </w:p>
              </w:tc>
              <w:tc>
                <w:tcPr>
                  <w:tcW w:w="664"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900-249-08</w:t>
                  </w:r>
                </w:p>
              </w:tc>
              <w:tc>
                <w:tcPr>
                  <w:tcW w:w="429"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5"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桶装</w:t>
                  </w:r>
                </w:p>
              </w:tc>
              <w:tc>
                <w:tcPr>
                  <w:tcW w:w="562"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0.02</w:t>
                  </w:r>
                </w:p>
              </w:tc>
              <w:tc>
                <w:tcPr>
                  <w:tcW w:w="569"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一年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4</w:t>
                  </w:r>
                </w:p>
              </w:tc>
              <w:tc>
                <w:tcPr>
                  <w:tcW w:w="466"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453"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铝渣</w:t>
                  </w:r>
                </w:p>
              </w:tc>
              <w:tc>
                <w:tcPr>
                  <w:tcW w:w="525"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HW48</w:t>
                  </w:r>
                </w:p>
              </w:tc>
              <w:tc>
                <w:tcPr>
                  <w:tcW w:w="664"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321-026-48</w:t>
                  </w:r>
                </w:p>
              </w:tc>
              <w:tc>
                <w:tcPr>
                  <w:tcW w:w="429"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5"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袋装</w:t>
                  </w:r>
                </w:p>
              </w:tc>
              <w:tc>
                <w:tcPr>
                  <w:tcW w:w="562"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2</w:t>
                  </w:r>
                </w:p>
              </w:tc>
              <w:tc>
                <w:tcPr>
                  <w:tcW w:w="569"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一年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5</w:t>
                  </w:r>
                </w:p>
              </w:tc>
              <w:tc>
                <w:tcPr>
                  <w:tcW w:w="466"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453"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除尘器收集的铝烟尘</w:t>
                  </w:r>
                </w:p>
              </w:tc>
              <w:tc>
                <w:tcPr>
                  <w:tcW w:w="525"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HW48</w:t>
                  </w:r>
                </w:p>
              </w:tc>
              <w:tc>
                <w:tcPr>
                  <w:tcW w:w="664"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321-034-48</w:t>
                  </w:r>
                </w:p>
              </w:tc>
              <w:tc>
                <w:tcPr>
                  <w:tcW w:w="429"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5"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袋装</w:t>
                  </w:r>
                </w:p>
              </w:tc>
              <w:tc>
                <w:tcPr>
                  <w:tcW w:w="562"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0.1701</w:t>
                  </w:r>
                </w:p>
              </w:tc>
              <w:tc>
                <w:tcPr>
                  <w:tcW w:w="569"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一年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6</w:t>
                  </w:r>
                </w:p>
              </w:tc>
              <w:tc>
                <w:tcPr>
                  <w:tcW w:w="466"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453"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脱模剂废液</w:t>
                  </w:r>
                </w:p>
              </w:tc>
              <w:tc>
                <w:tcPr>
                  <w:tcW w:w="525"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HW09</w:t>
                  </w:r>
                </w:p>
              </w:tc>
              <w:tc>
                <w:tcPr>
                  <w:tcW w:w="664"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900-007-09</w:t>
                  </w:r>
                </w:p>
              </w:tc>
              <w:tc>
                <w:tcPr>
                  <w:tcW w:w="429"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5"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桶装</w:t>
                  </w:r>
                </w:p>
              </w:tc>
              <w:tc>
                <w:tcPr>
                  <w:tcW w:w="562"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0.25</w:t>
                  </w:r>
                </w:p>
              </w:tc>
              <w:tc>
                <w:tcPr>
                  <w:tcW w:w="569"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一年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7</w:t>
                  </w:r>
                </w:p>
              </w:tc>
              <w:tc>
                <w:tcPr>
                  <w:tcW w:w="466"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453"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废包装桶</w:t>
                  </w:r>
                </w:p>
              </w:tc>
              <w:tc>
                <w:tcPr>
                  <w:tcW w:w="525"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HW49</w:t>
                  </w:r>
                </w:p>
              </w:tc>
              <w:tc>
                <w:tcPr>
                  <w:tcW w:w="664"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900-041-49</w:t>
                  </w:r>
                </w:p>
              </w:tc>
              <w:tc>
                <w:tcPr>
                  <w:tcW w:w="429"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5"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袋装</w:t>
                  </w:r>
                </w:p>
              </w:tc>
              <w:tc>
                <w:tcPr>
                  <w:tcW w:w="562"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0.4</w:t>
                  </w:r>
                </w:p>
              </w:tc>
              <w:tc>
                <w:tcPr>
                  <w:tcW w:w="569"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一年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8</w:t>
                  </w:r>
                </w:p>
              </w:tc>
              <w:tc>
                <w:tcPr>
                  <w:tcW w:w="466"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453"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废切削液</w:t>
                  </w:r>
                </w:p>
              </w:tc>
              <w:tc>
                <w:tcPr>
                  <w:tcW w:w="525"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HW09</w:t>
                  </w:r>
                </w:p>
              </w:tc>
              <w:tc>
                <w:tcPr>
                  <w:tcW w:w="664"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900-006-09</w:t>
                  </w:r>
                </w:p>
              </w:tc>
              <w:tc>
                <w:tcPr>
                  <w:tcW w:w="429"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5"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桶装</w:t>
                  </w:r>
                </w:p>
              </w:tc>
              <w:tc>
                <w:tcPr>
                  <w:tcW w:w="562"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0.1</w:t>
                  </w:r>
                </w:p>
              </w:tc>
              <w:tc>
                <w:tcPr>
                  <w:tcW w:w="569"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一年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9</w:t>
                  </w:r>
                </w:p>
              </w:tc>
              <w:tc>
                <w:tcPr>
                  <w:tcW w:w="466"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453" w:type="pct"/>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沉淀池残渣</w:t>
                  </w:r>
                </w:p>
              </w:tc>
              <w:tc>
                <w:tcPr>
                  <w:tcW w:w="525" w:type="pct"/>
                  <w:vAlign w:val="center"/>
                </w:tcPr>
                <w:p>
                  <w:pPr>
                    <w:pStyle w:val="84"/>
                    <w:snapToGrid w:val="0"/>
                    <w:ind w:left="0" w:leftChars="0"/>
                    <w:rPr>
                      <w:rFonts w:hint="default" w:ascii="Times New Roman" w:hAnsi="Times New Roman" w:eastAsia="宋体" w:cs="Times New Roman"/>
                      <w:bCs/>
                      <w:snapToGrid w:val="0"/>
                      <w:color w:val="000000" w:themeColor="text1"/>
                      <w:w w:val="100"/>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HW09</w:t>
                  </w:r>
                </w:p>
              </w:tc>
              <w:tc>
                <w:tcPr>
                  <w:tcW w:w="664" w:type="pct"/>
                  <w:vAlign w:val="center"/>
                </w:tcPr>
                <w:p>
                  <w:pPr>
                    <w:pStyle w:val="84"/>
                    <w:snapToGrid w:val="0"/>
                    <w:ind w:left="0" w:leftChars="0"/>
                    <w:rPr>
                      <w:rFonts w:hint="default" w:ascii="Times New Roman" w:hAnsi="Times New Roman" w:eastAsia="宋体" w:cs="Times New Roman"/>
                      <w:bCs/>
                      <w:snapToGrid w:val="0"/>
                      <w:color w:val="000000" w:themeColor="text1"/>
                      <w:w w:val="100"/>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900-007-09</w:t>
                  </w:r>
                </w:p>
              </w:tc>
              <w:tc>
                <w:tcPr>
                  <w:tcW w:w="429"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5" w:type="pct"/>
                  <w:vMerge w:val="continue"/>
                  <w:vAlign w:val="center"/>
                </w:tcPr>
                <w:p>
                  <w:pPr>
                    <w:pStyle w:val="84"/>
                    <w:snapToGrid w:val="0"/>
                    <w:ind w:left="0" w:leftChars="0"/>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pPr>
                </w:p>
              </w:tc>
              <w:tc>
                <w:tcPr>
                  <w:tcW w:w="591" w:type="pct"/>
                  <w:vAlign w:val="center"/>
                </w:tcPr>
                <w:p>
                  <w:pPr>
                    <w:pStyle w:val="84"/>
                    <w:snapToGrid w:val="0"/>
                    <w:ind w:left="0" w:leftChars="0"/>
                    <w:rPr>
                      <w:rFonts w:hint="default" w:ascii="Times New Roman" w:hAnsi="Times New Roman" w:eastAsia="宋体" w:cs="Times New Roman"/>
                      <w:bCs/>
                      <w:snapToGrid w:val="0"/>
                      <w:color w:val="000000" w:themeColor="text1"/>
                      <w:w w:val="100"/>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桶装</w:t>
                  </w:r>
                </w:p>
              </w:tc>
              <w:tc>
                <w:tcPr>
                  <w:tcW w:w="562" w:type="pct"/>
                  <w:vAlign w:val="center"/>
                </w:tcPr>
                <w:p>
                  <w:pPr>
                    <w:pStyle w:val="84"/>
                    <w:snapToGrid w:val="0"/>
                    <w:ind w:left="0" w:leftChars="0"/>
                    <w:rPr>
                      <w:rFonts w:hint="default" w:ascii="Times New Roman" w:hAnsi="Times New Roman" w:eastAsia="宋体" w:cs="Times New Roman"/>
                      <w:bCs/>
                      <w:snapToGrid w:val="0"/>
                      <w:color w:val="000000" w:themeColor="text1"/>
                      <w:w w:val="100"/>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eastAsia="zh-CN"/>
                      <w14:textFill>
                        <w14:solidFill>
                          <w14:schemeClr w14:val="tx1"/>
                        </w14:solidFill>
                      </w14:textFill>
                    </w:rPr>
                    <w:t>0.2</w:t>
                  </w:r>
                </w:p>
              </w:tc>
              <w:tc>
                <w:tcPr>
                  <w:tcW w:w="569" w:type="pct"/>
                  <w:vAlign w:val="center"/>
                </w:tcPr>
                <w:p>
                  <w:pPr>
                    <w:pStyle w:val="84"/>
                    <w:snapToGrid w:val="0"/>
                    <w:ind w:left="0" w:leftChars="0"/>
                    <w:rPr>
                      <w:rFonts w:hint="default" w:ascii="Times New Roman" w:hAnsi="Times New Roman" w:eastAsia="宋体" w:cs="Times New Roman"/>
                      <w:bCs/>
                      <w:snapToGrid w:val="0"/>
                      <w:color w:val="000000" w:themeColor="text1"/>
                      <w:w w:val="100"/>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highlight w:val="none"/>
                      <w:lang w:val="en-US"/>
                      <w14:textFill>
                        <w14:solidFill>
                          <w14:schemeClr w14:val="tx1"/>
                        </w14:solidFill>
                      </w14:textFill>
                    </w:rPr>
                    <w:t>一年</w:t>
                  </w:r>
                </w:p>
              </w:tc>
            </w:tr>
          </w:tbl>
          <w:p>
            <w:pPr>
              <w:pStyle w:val="84"/>
              <w:snapToGrid w:val="0"/>
              <w:spacing w:line="500" w:lineRule="exact"/>
              <w:ind w:left="0" w:leftChars="0" w:firstLine="482" w:firstLineChars="200"/>
              <w:jc w:val="both"/>
              <w:rPr>
                <w:b/>
                <w:bCs/>
                <w:w w:val="100"/>
                <w:sz w:val="24"/>
                <w:szCs w:val="24"/>
              </w:rPr>
            </w:pPr>
            <w:r>
              <w:rPr>
                <w:b/>
                <w:bCs/>
                <w:w w:val="100"/>
                <w:sz w:val="24"/>
                <w:szCs w:val="24"/>
              </w:rPr>
              <w:t>4.1固体废弃物的环境管理要求</w:t>
            </w:r>
          </w:p>
          <w:p>
            <w:pPr>
              <w:pStyle w:val="84"/>
              <w:snapToGrid w:val="0"/>
              <w:spacing w:line="500" w:lineRule="exact"/>
              <w:ind w:left="0" w:leftChars="0" w:firstLine="480" w:firstLineChars="200"/>
              <w:jc w:val="both"/>
              <w:rPr>
                <w:bCs/>
                <w:snapToGrid w:val="0"/>
                <w:color w:val="000000"/>
                <w:w w:val="100"/>
                <w:sz w:val="24"/>
                <w:szCs w:val="24"/>
              </w:rPr>
            </w:pPr>
            <w:r>
              <w:rPr>
                <w:bCs/>
                <w:snapToGrid w:val="0"/>
                <w:color w:val="000000"/>
                <w:w w:val="100"/>
                <w:sz w:val="24"/>
                <w:szCs w:val="24"/>
              </w:rPr>
              <w:t>项目固体废物主要为废边角料、废包装材料、废活性炭、废机油及生活垃圾等。废活性炭、废机油、属于危险废物，委托有资质单位进行处理；废边角料、废包装袋外售相关单位处理；生活垃圾由厂区内垃圾桶收集后交由当地环卫部门统一清运处理。因此本项目产生的固废可得到有效处置，不会产生二次污染，对周围环境影响较小。</w:t>
            </w:r>
          </w:p>
          <w:p>
            <w:pPr>
              <w:pStyle w:val="84"/>
              <w:snapToGrid w:val="0"/>
              <w:spacing w:line="500" w:lineRule="exact"/>
              <w:ind w:left="0" w:leftChars="0" w:firstLine="482" w:firstLineChars="200"/>
              <w:jc w:val="both"/>
              <w:rPr>
                <w:b/>
                <w:color w:val="000000"/>
                <w:w w:val="100"/>
                <w:sz w:val="24"/>
                <w:szCs w:val="24"/>
              </w:rPr>
            </w:pPr>
            <w:r>
              <w:rPr>
                <w:b/>
                <w:snapToGrid w:val="0"/>
                <w:color w:val="000000"/>
                <w:w w:val="100"/>
                <w:sz w:val="24"/>
                <w:szCs w:val="24"/>
              </w:rPr>
              <w:t>4.1.1</w:t>
            </w:r>
            <w:r>
              <w:rPr>
                <w:b/>
                <w:color w:val="000000"/>
                <w:w w:val="100"/>
                <w:sz w:val="24"/>
                <w:szCs w:val="24"/>
              </w:rPr>
              <w:t>本项目固废暂存设施及要求</w:t>
            </w:r>
          </w:p>
          <w:p>
            <w:pPr>
              <w:pStyle w:val="84"/>
              <w:snapToGrid w:val="0"/>
              <w:spacing w:line="500" w:lineRule="exact"/>
              <w:ind w:left="0" w:leftChars="0" w:firstLine="480" w:firstLineChars="200"/>
              <w:jc w:val="both"/>
              <w:rPr>
                <w:bCs/>
                <w:w w:val="100"/>
                <w:sz w:val="24"/>
                <w:szCs w:val="24"/>
              </w:rPr>
            </w:pPr>
            <w:r>
              <w:rPr>
                <w:bCs/>
                <w:color w:val="000000"/>
                <w:w w:val="100"/>
                <w:sz w:val="24"/>
                <w:szCs w:val="24"/>
              </w:rPr>
              <w:t>本项目设置一般固废仓库16m</w:t>
            </w:r>
            <w:r>
              <w:rPr>
                <w:bCs/>
                <w:color w:val="000000"/>
                <w:w w:val="100"/>
                <w:sz w:val="24"/>
                <w:szCs w:val="24"/>
                <w:vertAlign w:val="superscript"/>
              </w:rPr>
              <w:t>2</w:t>
            </w:r>
            <w:r>
              <w:rPr>
                <w:bCs/>
                <w:color w:val="000000"/>
                <w:w w:val="100"/>
                <w:sz w:val="24"/>
                <w:szCs w:val="24"/>
              </w:rPr>
              <w:t>，危废间</w:t>
            </w:r>
            <w:r>
              <w:rPr>
                <w:rFonts w:hint="eastAsia"/>
                <w:bCs/>
                <w:color w:val="000000"/>
                <w:w w:val="100"/>
                <w:sz w:val="24"/>
                <w:szCs w:val="24"/>
              </w:rPr>
              <w:t>2</w:t>
            </w:r>
            <w:r>
              <w:rPr>
                <w:bCs/>
                <w:color w:val="000000"/>
                <w:w w:val="100"/>
                <w:sz w:val="24"/>
                <w:szCs w:val="24"/>
              </w:rPr>
              <w:t>0m</w:t>
            </w:r>
            <w:r>
              <w:rPr>
                <w:bCs/>
                <w:w w:val="100"/>
                <w:sz w:val="24"/>
                <w:szCs w:val="24"/>
                <w:vertAlign w:val="superscript"/>
              </w:rPr>
              <w:t>2</w:t>
            </w:r>
            <w:r>
              <w:rPr>
                <w:bCs/>
                <w:w w:val="100"/>
                <w:sz w:val="24"/>
                <w:szCs w:val="24"/>
              </w:rPr>
              <w:t>，危险废物转运周期最大为一年转运一次，能够满足本项目产生的危废暂存。废机油采用密闭铁桶进行储存，废活性炭采用吨袋进行储存，贮存场所均有废物分类存放的标志，能够满足整个厂内产生固废的分类贮存的要求。危险废物贮存于危废库，防风防雨防晒，采用地面防渗，存放场地按</w:t>
            </w:r>
            <w:r>
              <w:rPr>
                <w:rFonts w:hint="eastAsia"/>
                <w:bCs/>
                <w:w w:val="100"/>
                <w:sz w:val="24"/>
                <w:szCs w:val="24"/>
              </w:rPr>
              <w:t>《环境保护图形标志—固体废物贮存（处置场）》（GB15562.2-2020）</w:t>
            </w:r>
            <w:r>
              <w:rPr>
                <w:bCs/>
                <w:w w:val="100"/>
                <w:sz w:val="24"/>
                <w:szCs w:val="24"/>
              </w:rPr>
              <w:t>的规定设置警示标志。一般工业固体废物用桶、罐等专用废弃包装材料包装后存放，厂内有生活垃圾收集箱。项目固废暂存满足《一般工业固体废物贮存和填埋污染控制标准》（GB18599-2020）、《环境保护图形标志—固体废物贮存（处置场）》（GB1556</w:t>
            </w:r>
            <w:r>
              <w:rPr>
                <w:rFonts w:hint="eastAsia"/>
                <w:bCs/>
                <w:w w:val="100"/>
                <w:sz w:val="24"/>
                <w:szCs w:val="24"/>
              </w:rPr>
              <w:t>3.2</w:t>
            </w:r>
            <w:r>
              <w:rPr>
                <w:bCs/>
                <w:w w:val="100"/>
                <w:sz w:val="24"/>
                <w:szCs w:val="24"/>
              </w:rPr>
              <w:t>-1995）、《危险废物贮存污染控制标准》（GB18597-2023）等规定要求。</w:t>
            </w:r>
          </w:p>
          <w:p>
            <w:pPr>
              <w:pStyle w:val="84"/>
              <w:snapToGrid w:val="0"/>
              <w:spacing w:line="500" w:lineRule="exact"/>
              <w:ind w:left="0" w:leftChars="0" w:firstLine="480" w:firstLineChars="200"/>
              <w:jc w:val="both"/>
              <w:rPr>
                <w:bCs/>
                <w:w w:val="100"/>
                <w:sz w:val="24"/>
                <w:szCs w:val="24"/>
              </w:rPr>
            </w:pPr>
            <w:r>
              <w:rPr>
                <w:bCs/>
                <w:w w:val="100"/>
                <w:sz w:val="24"/>
                <w:szCs w:val="24"/>
              </w:rPr>
              <w:t>企业危废库地面做好防渗处理，贮存场所均有废物分类存放的标志，因此，本项目产生的危险废物均能得到有效的贮存及处置，对环境影响较小。</w:t>
            </w:r>
          </w:p>
          <w:p>
            <w:pPr>
              <w:pStyle w:val="84"/>
              <w:snapToGrid w:val="0"/>
              <w:spacing w:line="500" w:lineRule="exact"/>
              <w:ind w:left="0" w:leftChars="0" w:firstLine="482" w:firstLineChars="200"/>
              <w:jc w:val="both"/>
              <w:rPr>
                <w:b/>
                <w:w w:val="100"/>
                <w:sz w:val="24"/>
                <w:szCs w:val="24"/>
              </w:rPr>
            </w:pPr>
            <w:r>
              <w:rPr>
                <w:b/>
                <w:w w:val="100"/>
                <w:sz w:val="24"/>
                <w:szCs w:val="24"/>
              </w:rPr>
              <w:t>4.1.2危险废物贮存环境影响分析</w:t>
            </w:r>
          </w:p>
          <w:p>
            <w:pPr>
              <w:pStyle w:val="84"/>
              <w:snapToGrid w:val="0"/>
              <w:spacing w:line="500" w:lineRule="exact"/>
              <w:ind w:left="0" w:leftChars="0" w:firstLine="480" w:firstLineChars="200"/>
              <w:jc w:val="both"/>
              <w:rPr>
                <w:bCs/>
                <w:w w:val="100"/>
                <w:sz w:val="24"/>
                <w:szCs w:val="24"/>
              </w:rPr>
            </w:pPr>
            <w:r>
              <w:rPr>
                <w:bCs/>
                <w:w w:val="100"/>
                <w:sz w:val="24"/>
                <w:szCs w:val="24"/>
              </w:rPr>
              <w:t>本项目</w:t>
            </w:r>
            <w:r>
              <w:rPr>
                <w:rFonts w:hint="eastAsia"/>
                <w:bCs/>
                <w:w w:val="100"/>
                <w:sz w:val="24"/>
                <w:szCs w:val="24"/>
              </w:rPr>
              <w:t>危废暂存间废气通过密闭负压收集经</w:t>
            </w:r>
            <w:r>
              <w:rPr>
                <w:rFonts w:hint="eastAsia"/>
                <w:bCs/>
                <w:w w:val="100"/>
                <w:sz w:val="24"/>
                <w:szCs w:val="24"/>
                <w:lang w:val="en-US" w:eastAsia="zh-CN"/>
              </w:rPr>
              <w:t>二级活性炭吸附装置</w:t>
            </w:r>
            <w:r>
              <w:rPr>
                <w:rFonts w:hint="eastAsia"/>
                <w:bCs/>
                <w:w w:val="100"/>
                <w:sz w:val="24"/>
                <w:szCs w:val="24"/>
              </w:rPr>
              <w:t>处理后由</w:t>
            </w:r>
            <w:r>
              <w:rPr>
                <w:rFonts w:hint="eastAsia"/>
                <w:bCs/>
                <w:w w:val="100"/>
                <w:sz w:val="24"/>
                <w:szCs w:val="24"/>
                <w:lang w:val="en-US" w:eastAsia="zh-CN"/>
              </w:rPr>
              <w:t>15m</w:t>
            </w:r>
            <w:r>
              <w:rPr>
                <w:rFonts w:hint="eastAsia"/>
                <w:bCs/>
                <w:w w:val="100"/>
                <w:sz w:val="24"/>
                <w:szCs w:val="24"/>
              </w:rPr>
              <w:t>高排气筒排放，因此</w:t>
            </w:r>
            <w:bookmarkStart w:id="3" w:name="_GoBack"/>
            <w:bookmarkEnd w:id="3"/>
            <w:r>
              <w:rPr>
                <w:rFonts w:hint="eastAsia"/>
                <w:bCs/>
                <w:w w:val="100"/>
                <w:sz w:val="24"/>
                <w:szCs w:val="24"/>
              </w:rPr>
              <w:t>危废暂存间储存能力、废气的收集处理措施均可满足本项目依托之后总的储存要求，故该危险废物暂存间的规模可行。</w:t>
            </w:r>
            <w:r>
              <w:rPr>
                <w:bCs/>
                <w:w w:val="100"/>
                <w:sz w:val="24"/>
                <w:szCs w:val="24"/>
              </w:rPr>
              <w:t>本项目产生的危废在采取以上的污染防治措施条件下不会对周边的大气、地表水、土壤、地下水环境及周边环境保护目标产生影响。</w:t>
            </w:r>
          </w:p>
          <w:p>
            <w:pPr>
              <w:pStyle w:val="84"/>
              <w:snapToGrid w:val="0"/>
              <w:spacing w:line="500" w:lineRule="exact"/>
              <w:ind w:left="0" w:leftChars="0" w:firstLine="482" w:firstLineChars="200"/>
              <w:jc w:val="both"/>
              <w:rPr>
                <w:b/>
                <w:w w:val="100"/>
                <w:sz w:val="24"/>
                <w:szCs w:val="24"/>
              </w:rPr>
            </w:pPr>
            <w:r>
              <w:rPr>
                <w:b/>
                <w:w w:val="100"/>
                <w:sz w:val="24"/>
                <w:szCs w:val="24"/>
              </w:rPr>
              <w:t>4.1.3固废处置可行性分析</w:t>
            </w:r>
          </w:p>
          <w:p>
            <w:pPr>
              <w:pStyle w:val="86"/>
              <w:tabs>
                <w:tab w:val="left" w:pos="1225"/>
              </w:tabs>
              <w:adjustRightInd w:val="0"/>
              <w:snapToGrid w:val="0"/>
              <w:spacing w:line="500" w:lineRule="exact"/>
              <w:ind w:firstLine="482"/>
              <w:rPr>
                <w:b/>
                <w:sz w:val="24"/>
              </w:rPr>
            </w:pPr>
            <w:r>
              <w:rPr>
                <w:b/>
                <w:sz w:val="24"/>
              </w:rPr>
              <w:t>4.1.3.1危险固废委托处置可行性</w:t>
            </w:r>
          </w:p>
          <w:p>
            <w:pPr>
              <w:pStyle w:val="84"/>
              <w:snapToGrid w:val="0"/>
              <w:spacing w:line="500" w:lineRule="exact"/>
              <w:ind w:left="0" w:leftChars="0" w:firstLine="480" w:firstLineChars="200"/>
              <w:jc w:val="both"/>
              <w:rPr>
                <w:bCs/>
                <w:color w:val="000000"/>
                <w:w w:val="100"/>
                <w:sz w:val="24"/>
                <w:szCs w:val="24"/>
              </w:rPr>
            </w:pPr>
            <w:r>
              <w:rPr>
                <w:bCs/>
                <w:color w:val="000000"/>
                <w:w w:val="100"/>
                <w:sz w:val="24"/>
                <w:szCs w:val="24"/>
              </w:rPr>
              <w:t>本项目产生的危险固废主要有废活性炭、废机油，年产生量为</w:t>
            </w:r>
            <w:r>
              <w:rPr>
                <w:rFonts w:hint="eastAsia"/>
                <w:bCs/>
                <w:color w:val="000000"/>
                <w:w w:val="100"/>
                <w:sz w:val="24"/>
                <w:szCs w:val="24"/>
              </w:rPr>
              <w:t>6</w:t>
            </w:r>
            <w:r>
              <w:rPr>
                <w:bCs/>
                <w:color w:val="000000"/>
                <w:w w:val="100"/>
                <w:sz w:val="24"/>
                <w:szCs w:val="24"/>
              </w:rPr>
              <w:t>.0411t。危险废物收集后暂存危废库后委托有资质单位进行处置。</w:t>
            </w:r>
          </w:p>
          <w:p>
            <w:pPr>
              <w:pStyle w:val="84"/>
              <w:snapToGrid w:val="0"/>
              <w:spacing w:line="500" w:lineRule="exact"/>
              <w:ind w:left="0" w:leftChars="0" w:firstLine="480" w:firstLineChars="200"/>
              <w:jc w:val="both"/>
              <w:rPr>
                <w:bCs/>
                <w:w w:val="100"/>
                <w:sz w:val="24"/>
                <w:szCs w:val="24"/>
              </w:rPr>
            </w:pPr>
            <w:r>
              <w:rPr>
                <w:bCs/>
                <w:w w:val="100"/>
                <w:sz w:val="24"/>
                <w:szCs w:val="24"/>
              </w:rPr>
              <w:t>处置单位概况：高邮康博环境资源有限公司经营范围包括：焚烧处置医药废物（HW02），废药物、药品（HW03），农药废物（HW04），木材防腐剂废物（HW05），废有机溶剂与含有机溶剂废物（HW06），废矿物油与含矿物油废物（HW08），油/水、烃/水混合物或乳化液（HW09），精（蒸）馏残渣（HW11），染料、涂料废物（HW12），有机树脂类废物（HW13），感光材料废物（HW16），有机磷化合物废物（HW37），含酚废物（HW39），含醚废物（HW40），含有机卤化物废物（HW45），其他废物（HW49，仅限900-039-49、900-041-49、900-046-49、900-047-49、900-999-49），合计30000吨/年。本项目产生的危险废物在高邮康博环境资源有限公司处理能力及处理范围内。</w:t>
            </w:r>
          </w:p>
          <w:p>
            <w:pPr>
              <w:pStyle w:val="84"/>
              <w:snapToGrid w:val="0"/>
              <w:spacing w:line="500" w:lineRule="exact"/>
              <w:ind w:left="0" w:leftChars="0" w:firstLine="480" w:firstLineChars="200"/>
              <w:jc w:val="both"/>
              <w:rPr>
                <w:bCs/>
                <w:w w:val="100"/>
                <w:sz w:val="24"/>
                <w:szCs w:val="24"/>
              </w:rPr>
            </w:pPr>
            <w:r>
              <w:rPr>
                <w:bCs/>
                <w:w w:val="100"/>
                <w:sz w:val="24"/>
                <w:szCs w:val="24"/>
              </w:rPr>
              <w:t>因此，本项目危险废物的处置是可行的。</w:t>
            </w:r>
          </w:p>
          <w:p>
            <w:pPr>
              <w:pStyle w:val="86"/>
              <w:tabs>
                <w:tab w:val="left" w:pos="1225"/>
              </w:tabs>
              <w:adjustRightInd w:val="0"/>
              <w:snapToGrid w:val="0"/>
              <w:spacing w:line="500" w:lineRule="exact"/>
              <w:ind w:firstLine="482"/>
              <w:rPr>
                <w:b/>
                <w:sz w:val="24"/>
              </w:rPr>
            </w:pPr>
            <w:r>
              <w:rPr>
                <w:b/>
                <w:sz w:val="24"/>
              </w:rPr>
              <w:t>4.1.3.2其他固废处置可行性</w:t>
            </w:r>
          </w:p>
          <w:p>
            <w:pPr>
              <w:pStyle w:val="84"/>
              <w:snapToGrid w:val="0"/>
              <w:spacing w:line="500" w:lineRule="exact"/>
              <w:ind w:left="0" w:leftChars="0" w:firstLine="480" w:firstLineChars="200"/>
              <w:jc w:val="both"/>
              <w:rPr>
                <w:bCs/>
                <w:w w:val="100"/>
                <w:sz w:val="24"/>
                <w:szCs w:val="24"/>
              </w:rPr>
            </w:pPr>
            <w:r>
              <w:rPr>
                <w:bCs/>
                <w:w w:val="100"/>
                <w:sz w:val="24"/>
                <w:szCs w:val="24"/>
              </w:rPr>
              <w:t>本项目废边角料、废包装袋外售相关单位处理；生活垃圾由厂区内垃圾桶收集后交由当地环卫部门统一清运处理。</w:t>
            </w:r>
          </w:p>
          <w:p>
            <w:pPr>
              <w:pStyle w:val="84"/>
              <w:snapToGrid w:val="0"/>
              <w:spacing w:line="500" w:lineRule="exact"/>
              <w:ind w:left="0" w:leftChars="0" w:firstLine="480" w:firstLineChars="200"/>
              <w:jc w:val="both"/>
              <w:rPr>
                <w:bCs/>
                <w:w w:val="100"/>
                <w:sz w:val="24"/>
                <w:szCs w:val="24"/>
              </w:rPr>
            </w:pPr>
            <w:r>
              <w:rPr>
                <w:bCs/>
                <w:w w:val="100"/>
                <w:sz w:val="24"/>
                <w:szCs w:val="24"/>
              </w:rPr>
              <w:t>企业的固废经妥善处理、处置后，对周围环境及人体不会造成影响，亦不会对环境产生二次污染。</w:t>
            </w:r>
          </w:p>
          <w:p>
            <w:pPr>
              <w:pStyle w:val="84"/>
              <w:snapToGrid w:val="0"/>
              <w:spacing w:line="500" w:lineRule="exact"/>
              <w:ind w:left="0" w:leftChars="0" w:firstLine="482" w:firstLineChars="200"/>
              <w:jc w:val="both"/>
              <w:rPr>
                <w:b/>
                <w:w w:val="100"/>
                <w:sz w:val="24"/>
                <w:szCs w:val="24"/>
              </w:rPr>
            </w:pPr>
            <w:r>
              <w:rPr>
                <w:b/>
                <w:w w:val="100"/>
                <w:sz w:val="24"/>
                <w:szCs w:val="24"/>
              </w:rPr>
              <w:t>4.1.4固体废物处理、处置管理规定</w:t>
            </w:r>
          </w:p>
          <w:p>
            <w:pPr>
              <w:pStyle w:val="84"/>
              <w:snapToGrid w:val="0"/>
              <w:spacing w:line="500" w:lineRule="exact"/>
              <w:ind w:left="0" w:leftChars="0" w:firstLine="480" w:firstLineChars="200"/>
              <w:jc w:val="both"/>
              <w:rPr>
                <w:bCs/>
                <w:w w:val="100"/>
                <w:sz w:val="24"/>
                <w:szCs w:val="24"/>
              </w:rPr>
            </w:pPr>
            <w:r>
              <w:rPr>
                <w:bCs/>
                <w:w w:val="100"/>
                <w:sz w:val="24"/>
                <w:szCs w:val="24"/>
              </w:rPr>
              <w:t>厂区内危险废物暂存场地的设置应按《危险废物贮存污染控制标准》（GB18597-2023）要求设置，要求做到以下几点：</w:t>
            </w:r>
          </w:p>
          <w:p>
            <w:pPr>
              <w:pStyle w:val="84"/>
              <w:autoSpaceDE w:val="0"/>
              <w:autoSpaceDN w:val="0"/>
              <w:snapToGrid w:val="0"/>
              <w:spacing w:line="500" w:lineRule="exact"/>
              <w:ind w:left="0" w:leftChars="0" w:firstLine="480" w:firstLineChars="200"/>
              <w:jc w:val="left"/>
              <w:rPr>
                <w:bCs/>
                <w:w w:val="100"/>
                <w:sz w:val="24"/>
                <w:szCs w:val="24"/>
              </w:rPr>
            </w:pPr>
            <w:r>
              <w:rPr>
                <w:bCs/>
                <w:w w:val="100"/>
                <w:sz w:val="24"/>
                <w:szCs w:val="24"/>
              </w:rPr>
              <w:t>（1）贮存设施必须按</w:t>
            </w:r>
            <w:r>
              <w:rPr>
                <w:rFonts w:hint="eastAsia"/>
                <w:bCs/>
                <w:w w:val="100"/>
                <w:sz w:val="24"/>
                <w:szCs w:val="24"/>
              </w:rPr>
              <w:t>《环境保护图形标志—固体废物贮存（处置场）》（GB15562.2-2020）</w:t>
            </w:r>
            <w:r>
              <w:rPr>
                <w:bCs/>
                <w:w w:val="100"/>
                <w:sz w:val="24"/>
                <w:szCs w:val="24"/>
              </w:rPr>
              <w:t>的规定设置警示标志；</w:t>
            </w:r>
          </w:p>
          <w:p>
            <w:pPr>
              <w:pStyle w:val="84"/>
              <w:autoSpaceDE w:val="0"/>
              <w:autoSpaceDN w:val="0"/>
              <w:snapToGrid w:val="0"/>
              <w:spacing w:line="500" w:lineRule="exact"/>
              <w:ind w:left="0" w:leftChars="0" w:firstLine="480" w:firstLineChars="200"/>
              <w:jc w:val="left"/>
              <w:rPr>
                <w:bCs/>
                <w:w w:val="100"/>
                <w:sz w:val="24"/>
                <w:szCs w:val="24"/>
              </w:rPr>
            </w:pPr>
            <w:r>
              <w:rPr>
                <w:bCs/>
                <w:w w:val="100"/>
                <w:sz w:val="24"/>
                <w:szCs w:val="24"/>
              </w:rPr>
              <w:t>（2）贮存设施周围应设置围墙或其它防护栅栏；</w:t>
            </w:r>
          </w:p>
          <w:p>
            <w:pPr>
              <w:pStyle w:val="84"/>
              <w:autoSpaceDE w:val="0"/>
              <w:autoSpaceDN w:val="0"/>
              <w:snapToGrid w:val="0"/>
              <w:spacing w:line="500" w:lineRule="exact"/>
              <w:ind w:left="0" w:leftChars="0" w:firstLine="480" w:firstLineChars="200"/>
              <w:jc w:val="left"/>
              <w:rPr>
                <w:bCs/>
                <w:w w:val="100"/>
                <w:sz w:val="24"/>
                <w:szCs w:val="24"/>
              </w:rPr>
            </w:pPr>
            <w:r>
              <w:rPr>
                <w:bCs/>
                <w:w w:val="100"/>
                <w:sz w:val="24"/>
                <w:szCs w:val="24"/>
              </w:rPr>
              <w:t>（3）贮存设施必须设置防渗、防雨、防漏等防范措施；</w:t>
            </w:r>
          </w:p>
          <w:p>
            <w:pPr>
              <w:pStyle w:val="84"/>
              <w:autoSpaceDE w:val="0"/>
              <w:autoSpaceDN w:val="0"/>
              <w:snapToGrid w:val="0"/>
              <w:spacing w:line="500" w:lineRule="exact"/>
              <w:ind w:left="0" w:leftChars="0" w:firstLine="480" w:firstLineChars="200"/>
              <w:jc w:val="left"/>
              <w:rPr>
                <w:bCs/>
                <w:w w:val="100"/>
                <w:sz w:val="24"/>
                <w:szCs w:val="24"/>
              </w:rPr>
            </w:pPr>
            <w:r>
              <w:rPr>
                <w:bCs/>
                <w:w w:val="100"/>
                <w:sz w:val="24"/>
                <w:szCs w:val="24"/>
              </w:rPr>
              <w:t>（4）贮存设施应配备通讯设备、照明设施、安全防护服装及工具，并设有应急防护设施；</w:t>
            </w:r>
          </w:p>
          <w:p>
            <w:pPr>
              <w:pStyle w:val="84"/>
              <w:autoSpaceDE w:val="0"/>
              <w:autoSpaceDN w:val="0"/>
              <w:snapToGrid w:val="0"/>
              <w:spacing w:line="500" w:lineRule="exact"/>
              <w:ind w:left="0" w:leftChars="0" w:firstLine="480" w:firstLineChars="200"/>
              <w:jc w:val="both"/>
              <w:rPr>
                <w:bCs/>
                <w:w w:val="100"/>
                <w:sz w:val="24"/>
                <w:szCs w:val="24"/>
              </w:rPr>
            </w:pPr>
            <w:r>
              <w:rPr>
                <w:bCs/>
                <w:w w:val="100"/>
                <w:sz w:val="24"/>
                <w:szCs w:val="24"/>
              </w:rPr>
              <w:t>（5）贮存设施内清理出来的泄漏物，一律按危险废物处理。</w:t>
            </w:r>
          </w:p>
          <w:p>
            <w:pPr>
              <w:pStyle w:val="84"/>
              <w:snapToGrid w:val="0"/>
              <w:spacing w:line="500" w:lineRule="exact"/>
              <w:ind w:left="0" w:leftChars="0" w:firstLine="480" w:firstLineChars="200"/>
              <w:jc w:val="both"/>
              <w:rPr>
                <w:bCs/>
                <w:snapToGrid w:val="0"/>
                <w:w w:val="100"/>
                <w:sz w:val="24"/>
                <w:szCs w:val="24"/>
              </w:rPr>
            </w:pPr>
            <w:r>
              <w:rPr>
                <w:bCs/>
                <w:snapToGrid w:val="0"/>
                <w:w w:val="100"/>
                <w:sz w:val="24"/>
                <w:szCs w:val="24"/>
              </w:rPr>
              <w:t>一般工业固废在收集时，也应清楚废物的类别及主要成份，以方便处置，根据一般工业固废的类型、性质、形态、可循环使用性等，采取不同的处置，使用不同大小垃圾袋进行包装，由处置单位拖运。</w:t>
            </w:r>
          </w:p>
          <w:p>
            <w:pPr>
              <w:pStyle w:val="84"/>
              <w:snapToGrid w:val="0"/>
              <w:spacing w:line="500" w:lineRule="exact"/>
              <w:ind w:left="0" w:leftChars="0" w:firstLine="480" w:firstLineChars="200"/>
              <w:jc w:val="both"/>
              <w:rPr>
                <w:bCs/>
                <w:snapToGrid w:val="0"/>
                <w:w w:val="100"/>
                <w:sz w:val="24"/>
                <w:szCs w:val="24"/>
              </w:rPr>
            </w:pPr>
            <w:r>
              <w:rPr>
                <w:bCs/>
                <w:snapToGrid w:val="0"/>
                <w:w w:val="100"/>
                <w:sz w:val="24"/>
                <w:szCs w:val="24"/>
              </w:rPr>
              <w:t>项目一般工业固废的暂存场按照《一般工业固体废物贮存和填埋污染控制标准》（GB18599-2020）要求建设，具体如下：</w:t>
            </w:r>
          </w:p>
          <w:p>
            <w:pPr>
              <w:pStyle w:val="84"/>
              <w:snapToGrid w:val="0"/>
              <w:spacing w:line="500" w:lineRule="exact"/>
              <w:ind w:left="0" w:leftChars="0" w:firstLine="480" w:firstLineChars="200"/>
              <w:jc w:val="both"/>
              <w:rPr>
                <w:bCs/>
                <w:snapToGrid w:val="0"/>
                <w:w w:val="100"/>
                <w:sz w:val="24"/>
                <w:szCs w:val="24"/>
              </w:rPr>
            </w:pPr>
            <w:r>
              <w:rPr>
                <w:bCs/>
                <w:snapToGrid w:val="0"/>
                <w:w w:val="100"/>
                <w:sz w:val="24"/>
                <w:szCs w:val="24"/>
              </w:rPr>
              <w:t>①贮存、处置场的建设类型，与将要堆放的一般工业固体废物的类别相一致；</w:t>
            </w:r>
          </w:p>
          <w:p>
            <w:pPr>
              <w:pStyle w:val="84"/>
              <w:snapToGrid w:val="0"/>
              <w:spacing w:line="500" w:lineRule="exact"/>
              <w:ind w:left="0" w:leftChars="0" w:firstLine="480" w:firstLineChars="200"/>
              <w:jc w:val="both"/>
              <w:rPr>
                <w:bCs/>
                <w:snapToGrid w:val="0"/>
                <w:w w:val="100"/>
                <w:sz w:val="24"/>
                <w:szCs w:val="24"/>
              </w:rPr>
            </w:pPr>
            <w:r>
              <w:rPr>
                <w:bCs/>
                <w:snapToGrid w:val="0"/>
                <w:w w:val="100"/>
                <w:sz w:val="24"/>
                <w:szCs w:val="24"/>
              </w:rPr>
              <w:t>②贮存、处置场采取防止粉尘污染的措施；</w:t>
            </w:r>
          </w:p>
          <w:p>
            <w:pPr>
              <w:pStyle w:val="84"/>
              <w:snapToGrid w:val="0"/>
              <w:spacing w:line="500" w:lineRule="exact"/>
              <w:ind w:left="0" w:leftChars="0" w:firstLine="480" w:firstLineChars="200"/>
              <w:jc w:val="both"/>
              <w:rPr>
                <w:bCs/>
                <w:snapToGrid w:val="0"/>
                <w:w w:val="100"/>
                <w:sz w:val="24"/>
                <w:szCs w:val="24"/>
              </w:rPr>
            </w:pPr>
            <w:r>
              <w:rPr>
                <w:bCs/>
                <w:snapToGrid w:val="0"/>
                <w:w w:val="100"/>
                <w:sz w:val="24"/>
                <w:szCs w:val="24"/>
              </w:rPr>
              <w:t>③为防止雨水径流进入贮存、处置场内，避免渗滤液量增加和滑坡，贮存、处置场周边设置导流渠；</w:t>
            </w:r>
          </w:p>
          <w:p>
            <w:pPr>
              <w:pStyle w:val="84"/>
              <w:snapToGrid w:val="0"/>
              <w:spacing w:line="500" w:lineRule="exact"/>
              <w:ind w:left="0" w:leftChars="0" w:firstLine="480" w:firstLineChars="200"/>
              <w:jc w:val="both"/>
              <w:rPr>
                <w:bCs/>
                <w:snapToGrid w:val="0"/>
                <w:w w:val="100"/>
                <w:sz w:val="24"/>
                <w:szCs w:val="24"/>
              </w:rPr>
            </w:pPr>
            <w:r>
              <w:rPr>
                <w:bCs/>
                <w:snapToGrid w:val="0"/>
                <w:w w:val="100"/>
                <w:sz w:val="24"/>
                <w:szCs w:val="24"/>
              </w:rPr>
              <w:t>④设计渗滤液集排水设施；</w:t>
            </w:r>
          </w:p>
          <w:p>
            <w:pPr>
              <w:pStyle w:val="84"/>
              <w:snapToGrid w:val="0"/>
              <w:spacing w:line="500" w:lineRule="exact"/>
              <w:ind w:left="0" w:leftChars="0" w:firstLine="480" w:firstLineChars="200"/>
              <w:jc w:val="both"/>
              <w:rPr>
                <w:bCs/>
                <w:snapToGrid w:val="0"/>
                <w:w w:val="100"/>
                <w:sz w:val="24"/>
                <w:szCs w:val="24"/>
              </w:rPr>
            </w:pPr>
            <w:r>
              <w:rPr>
                <w:bCs/>
                <w:snapToGrid w:val="0"/>
                <w:w w:val="100"/>
                <w:sz w:val="24"/>
                <w:szCs w:val="24"/>
              </w:rPr>
              <w:t>⑤为防止一般工业固体废物和渗滤液的流失，构筑堤、坝、挡土墙等设施；</w:t>
            </w:r>
          </w:p>
          <w:p>
            <w:pPr>
              <w:pStyle w:val="84"/>
              <w:snapToGrid w:val="0"/>
              <w:spacing w:line="500" w:lineRule="exact"/>
              <w:ind w:left="0" w:leftChars="0" w:firstLine="480" w:firstLineChars="200"/>
              <w:jc w:val="both"/>
              <w:rPr>
                <w:bCs/>
                <w:w w:val="100"/>
                <w:sz w:val="24"/>
                <w:szCs w:val="24"/>
              </w:rPr>
            </w:pPr>
            <w:r>
              <w:rPr>
                <w:bCs/>
                <w:snapToGrid w:val="0"/>
                <w:w w:val="100"/>
                <w:sz w:val="24"/>
                <w:szCs w:val="24"/>
              </w:rPr>
              <w:t>⑥为保障设施、设备正常运营，采取措施防止地基下沉，尤其是防止不均匀或局部下沉。加强监督管理，固废贮存、处置场按GB1556</w:t>
            </w:r>
            <w:r>
              <w:rPr>
                <w:rFonts w:hint="eastAsia"/>
                <w:bCs/>
                <w:snapToGrid w:val="0"/>
                <w:w w:val="100"/>
                <w:sz w:val="24"/>
                <w:szCs w:val="24"/>
              </w:rPr>
              <w:t>2.2</w:t>
            </w:r>
            <w:r>
              <w:rPr>
                <w:bCs/>
                <w:snapToGrid w:val="0"/>
                <w:w w:val="100"/>
                <w:sz w:val="24"/>
                <w:szCs w:val="24"/>
              </w:rPr>
              <w:t>设置环境保护图形标志</w:t>
            </w:r>
            <w:r>
              <w:rPr>
                <w:bCs/>
                <w:w w:val="100"/>
                <w:sz w:val="24"/>
                <w:szCs w:val="24"/>
              </w:rPr>
              <w:t>。</w:t>
            </w:r>
          </w:p>
          <w:p>
            <w:pPr>
              <w:adjustRightInd w:val="0"/>
              <w:snapToGrid w:val="0"/>
              <w:spacing w:line="500" w:lineRule="exact"/>
              <w:ind w:firstLine="482" w:firstLineChars="200"/>
              <w:jc w:val="left"/>
              <w:rPr>
                <w:b/>
                <w:bCs/>
                <w:sz w:val="24"/>
              </w:rPr>
            </w:pPr>
            <w:r>
              <w:rPr>
                <w:rFonts w:hint="eastAsia"/>
                <w:b/>
                <w:bCs/>
                <w:sz w:val="24"/>
              </w:rPr>
              <w:t>5、地下水、土壤</w:t>
            </w:r>
          </w:p>
          <w:p>
            <w:pPr>
              <w:pStyle w:val="84"/>
              <w:snapToGrid w:val="0"/>
              <w:spacing w:line="500" w:lineRule="exact"/>
              <w:ind w:left="0" w:leftChars="0" w:firstLine="480" w:firstLineChars="200"/>
              <w:jc w:val="both"/>
              <w:rPr>
                <w:bCs/>
                <w:snapToGrid w:val="0"/>
                <w:w w:val="100"/>
                <w:sz w:val="24"/>
                <w:szCs w:val="24"/>
              </w:rPr>
            </w:pPr>
            <w:r>
              <w:rPr>
                <w:rFonts w:hint="eastAsia"/>
                <w:bCs/>
                <w:snapToGrid w:val="0"/>
                <w:w w:val="100"/>
                <w:sz w:val="24"/>
                <w:szCs w:val="24"/>
              </w:rPr>
              <w:t>本项目污染源为有机废气、生活污水和危险废物</w:t>
            </w:r>
          </w:p>
          <w:p>
            <w:pPr>
              <w:pStyle w:val="84"/>
              <w:snapToGrid w:val="0"/>
              <w:spacing w:line="500" w:lineRule="exact"/>
              <w:ind w:left="0" w:leftChars="0" w:firstLine="480" w:firstLineChars="200"/>
              <w:jc w:val="both"/>
              <w:rPr>
                <w:bCs/>
                <w:snapToGrid w:val="0"/>
                <w:w w:val="100"/>
                <w:sz w:val="24"/>
                <w:szCs w:val="24"/>
              </w:rPr>
            </w:pPr>
            <w:r>
              <w:rPr>
                <w:rFonts w:hint="eastAsia"/>
                <w:bCs/>
                <w:snapToGrid w:val="0"/>
                <w:w w:val="100"/>
                <w:sz w:val="24"/>
                <w:szCs w:val="24"/>
              </w:rPr>
              <w:t>本项目污染土壤的途径主要为有机废气污染物通过降水、扩散和重力作用降落至地面，渗</w:t>
            </w:r>
            <w:r>
              <w:rPr>
                <w:bCs/>
                <w:snapToGrid w:val="0"/>
                <w:w w:val="100"/>
                <w:sz w:val="24"/>
                <w:szCs w:val="24"/>
              </w:rPr>
              <w:t>透进入土壤，进而污染土壤、地下水环境；</w:t>
            </w:r>
          </w:p>
          <w:p>
            <w:pPr>
              <w:pStyle w:val="84"/>
              <w:snapToGrid w:val="0"/>
              <w:spacing w:line="500" w:lineRule="exact"/>
              <w:ind w:left="0" w:leftChars="0" w:firstLine="480" w:firstLineChars="200"/>
              <w:jc w:val="both"/>
              <w:rPr>
                <w:bCs/>
                <w:snapToGrid w:val="0"/>
                <w:w w:val="100"/>
                <w:sz w:val="24"/>
                <w:szCs w:val="24"/>
              </w:rPr>
            </w:pPr>
            <w:r>
              <w:rPr>
                <w:rFonts w:hint="eastAsia"/>
                <w:bCs/>
                <w:snapToGrid w:val="0"/>
                <w:w w:val="100"/>
                <w:sz w:val="24"/>
                <w:szCs w:val="24"/>
              </w:rPr>
              <w:t>项目废水主要为生活污水，经生活污水预处理装置处理后接管排放，管道破碎后废水会渗</w:t>
            </w:r>
            <w:r>
              <w:rPr>
                <w:bCs/>
                <w:snapToGrid w:val="0"/>
                <w:w w:val="100"/>
                <w:sz w:val="24"/>
                <w:szCs w:val="24"/>
              </w:rPr>
              <w:t>透进入土壤，进而污染土壤、地下水环境；</w:t>
            </w:r>
          </w:p>
          <w:p>
            <w:pPr>
              <w:pStyle w:val="84"/>
              <w:snapToGrid w:val="0"/>
              <w:spacing w:line="500" w:lineRule="exact"/>
              <w:ind w:left="0" w:leftChars="0" w:firstLine="480" w:firstLineChars="200"/>
              <w:jc w:val="both"/>
              <w:rPr>
                <w:bCs/>
                <w:snapToGrid w:val="0"/>
                <w:w w:val="100"/>
                <w:sz w:val="24"/>
                <w:szCs w:val="24"/>
              </w:rPr>
            </w:pPr>
            <w:r>
              <w:rPr>
                <w:rFonts w:hint="eastAsia"/>
                <w:bCs/>
                <w:snapToGrid w:val="0"/>
                <w:w w:val="100"/>
                <w:sz w:val="24"/>
                <w:szCs w:val="24"/>
              </w:rPr>
              <w:t>固体废物尤其是危险废物在厂区内储存过程中渗出液可能进入土壤。</w:t>
            </w:r>
          </w:p>
          <w:p>
            <w:pPr>
              <w:pStyle w:val="84"/>
              <w:snapToGrid w:val="0"/>
              <w:spacing w:line="500" w:lineRule="exact"/>
              <w:ind w:left="0" w:leftChars="0" w:firstLine="480" w:firstLineChars="200"/>
              <w:jc w:val="both"/>
              <w:rPr>
                <w:bCs/>
                <w:snapToGrid w:val="0"/>
                <w:w w:val="100"/>
                <w:sz w:val="24"/>
                <w:szCs w:val="24"/>
              </w:rPr>
            </w:pPr>
            <w:r>
              <w:rPr>
                <w:bCs/>
                <w:snapToGrid w:val="0"/>
                <w:w w:val="100"/>
                <w:sz w:val="24"/>
                <w:szCs w:val="24"/>
              </w:rPr>
              <w:t>（1）危废仓地面及裙角均铺设有坚固、防渗材料，做到防风、防雨、防晒；危险废物分类储存，采用专用密闭包装桶贮存。在危废仓库使用过程中建设单位需定期对危废仓库进行检查维护，保证地面无裂隙，按照</w:t>
            </w:r>
            <w:r>
              <w:rPr>
                <w:rFonts w:hint="eastAsia"/>
                <w:bCs/>
                <w:snapToGrid w:val="0"/>
                <w:w w:val="100"/>
                <w:sz w:val="24"/>
                <w:szCs w:val="24"/>
              </w:rPr>
              <w:t>《危险废物贮存污染控制标准》（GB18597-2023）</w:t>
            </w:r>
            <w:r>
              <w:rPr>
                <w:bCs/>
                <w:snapToGrid w:val="0"/>
                <w:w w:val="100"/>
                <w:sz w:val="24"/>
                <w:szCs w:val="24"/>
              </w:rPr>
              <w:t>要求进行地面防渗，基础防渗层为至少1m厚粘土层（渗透系数≤10</w:t>
            </w:r>
            <w:r>
              <w:rPr>
                <w:bCs/>
                <w:snapToGrid w:val="0"/>
                <w:w w:val="100"/>
                <w:sz w:val="24"/>
                <w:szCs w:val="24"/>
                <w:vertAlign w:val="superscript"/>
              </w:rPr>
              <w:t>-7</w:t>
            </w:r>
            <w:r>
              <w:rPr>
                <w:bCs/>
                <w:snapToGrid w:val="0"/>
                <w:w w:val="100"/>
                <w:sz w:val="24"/>
                <w:szCs w:val="24"/>
              </w:rPr>
              <w:t>cm/s），或2mm厚高密度聚乙烯，或至少2mm厚的其他人工材料，渗透系数≤10-10cm/s，避免危险废物下渗污染土壤和地下水。</w:t>
            </w:r>
          </w:p>
          <w:p>
            <w:pPr>
              <w:pStyle w:val="84"/>
              <w:snapToGrid w:val="0"/>
              <w:spacing w:line="500" w:lineRule="exact"/>
              <w:ind w:left="0" w:leftChars="0" w:firstLine="480" w:firstLineChars="200"/>
              <w:jc w:val="both"/>
              <w:rPr>
                <w:bCs/>
                <w:snapToGrid w:val="0"/>
                <w:w w:val="100"/>
                <w:sz w:val="24"/>
                <w:szCs w:val="24"/>
              </w:rPr>
            </w:pPr>
            <w:r>
              <w:rPr>
                <w:bCs/>
                <w:snapToGrid w:val="0"/>
                <w:w w:val="100"/>
                <w:sz w:val="24"/>
                <w:szCs w:val="24"/>
              </w:rPr>
              <w:t>（2）在危废仓库使用过程中建设单位需定期对危废仓库进行检查维护，保证地面无裂隙，按照</w:t>
            </w:r>
            <w:r>
              <w:rPr>
                <w:rFonts w:hint="eastAsia"/>
                <w:bCs/>
                <w:snapToGrid w:val="0"/>
                <w:w w:val="100"/>
                <w:sz w:val="24"/>
                <w:szCs w:val="24"/>
              </w:rPr>
              <w:t>《危险废物贮存污染控制标准》（GB18597-2023）</w:t>
            </w:r>
            <w:r>
              <w:rPr>
                <w:bCs/>
                <w:snapToGrid w:val="0"/>
                <w:w w:val="100"/>
                <w:sz w:val="24"/>
                <w:szCs w:val="24"/>
              </w:rPr>
              <w:t>要求进行地面防渗，基础防渗层为至少1m厚粘土层（渗透系数≤10</w:t>
            </w:r>
            <w:r>
              <w:rPr>
                <w:bCs/>
                <w:snapToGrid w:val="0"/>
                <w:w w:val="100"/>
                <w:sz w:val="24"/>
                <w:szCs w:val="24"/>
                <w:vertAlign w:val="superscript"/>
              </w:rPr>
              <w:t>-7</w:t>
            </w:r>
            <w:r>
              <w:rPr>
                <w:bCs/>
                <w:snapToGrid w:val="0"/>
                <w:w w:val="100"/>
                <w:sz w:val="24"/>
                <w:szCs w:val="24"/>
              </w:rPr>
              <w:t>cm/s），或2mm厚高密度聚乙烯，或至少2mm厚的其他人工材料，渗透系数≤10</w:t>
            </w:r>
            <w:r>
              <w:rPr>
                <w:bCs/>
                <w:snapToGrid w:val="0"/>
                <w:w w:val="100"/>
                <w:sz w:val="24"/>
                <w:szCs w:val="24"/>
                <w:vertAlign w:val="superscript"/>
              </w:rPr>
              <w:t>-10</w:t>
            </w:r>
            <w:r>
              <w:rPr>
                <w:bCs/>
                <w:snapToGrid w:val="0"/>
                <w:w w:val="100"/>
                <w:sz w:val="24"/>
                <w:szCs w:val="24"/>
              </w:rPr>
              <w:t>cm/s，避免危险废物下渗污染土壤和地下水。</w:t>
            </w:r>
          </w:p>
          <w:p>
            <w:pPr>
              <w:pStyle w:val="84"/>
              <w:snapToGrid w:val="0"/>
              <w:spacing w:line="500" w:lineRule="exact"/>
              <w:ind w:left="0" w:leftChars="0" w:firstLine="480" w:firstLineChars="200"/>
              <w:jc w:val="both"/>
              <w:rPr>
                <w:bCs/>
                <w:snapToGrid w:val="0"/>
                <w:w w:val="100"/>
                <w:sz w:val="24"/>
                <w:szCs w:val="24"/>
              </w:rPr>
            </w:pPr>
            <w:r>
              <w:rPr>
                <w:bCs/>
                <w:snapToGrid w:val="0"/>
                <w:w w:val="100"/>
                <w:sz w:val="24"/>
                <w:szCs w:val="24"/>
              </w:rPr>
              <w:t>（3）厂内地下管网、危废库、办公区等需进行分区防控。</w:t>
            </w:r>
          </w:p>
          <w:p>
            <w:pPr>
              <w:pStyle w:val="84"/>
              <w:snapToGrid w:val="0"/>
              <w:spacing w:line="500" w:lineRule="exact"/>
              <w:ind w:left="0" w:leftChars="0" w:firstLine="480" w:firstLineChars="200"/>
              <w:jc w:val="both"/>
              <w:rPr>
                <w:bCs/>
                <w:snapToGrid w:val="0"/>
                <w:w w:val="100"/>
                <w:sz w:val="24"/>
                <w:szCs w:val="24"/>
              </w:rPr>
            </w:pPr>
            <w:r>
              <w:rPr>
                <w:bCs/>
                <w:snapToGrid w:val="0"/>
                <w:w w:val="100"/>
                <w:sz w:val="24"/>
                <w:szCs w:val="24"/>
              </w:rPr>
              <w:t>由以上分析可知，厂内办公区已按要求采取防渗措施，危化品库等区域需按相应要求采取防渗措施，并在日后的生产过程中需注意定期维护、检修，保证各防渗设施正常使用。</w:t>
            </w:r>
          </w:p>
          <w:p>
            <w:pPr>
              <w:pStyle w:val="84"/>
              <w:snapToGrid w:val="0"/>
              <w:spacing w:line="500" w:lineRule="exact"/>
              <w:ind w:left="0" w:leftChars="0" w:firstLine="480" w:firstLineChars="200"/>
              <w:jc w:val="both"/>
              <w:rPr>
                <w:bCs/>
                <w:snapToGrid w:val="0"/>
                <w:w w:val="100"/>
                <w:sz w:val="24"/>
                <w:szCs w:val="24"/>
              </w:rPr>
            </w:pPr>
            <w:r>
              <w:rPr>
                <w:rFonts w:hint="eastAsia"/>
                <w:bCs/>
                <w:snapToGrid w:val="0"/>
                <w:w w:val="100"/>
                <w:sz w:val="24"/>
                <w:szCs w:val="24"/>
              </w:rPr>
              <w:t>通过采取以上各项防治措施后，本项目对土壤和地下水的影响较小。</w:t>
            </w:r>
          </w:p>
          <w:p>
            <w:pPr>
              <w:pStyle w:val="84"/>
              <w:snapToGrid w:val="0"/>
              <w:spacing w:line="500" w:lineRule="exact"/>
              <w:ind w:left="0" w:leftChars="0" w:firstLine="482" w:firstLineChars="200"/>
              <w:jc w:val="left"/>
              <w:rPr>
                <w:b/>
                <w:bCs/>
                <w:snapToGrid w:val="0"/>
                <w:w w:val="100"/>
                <w:sz w:val="24"/>
                <w:szCs w:val="24"/>
              </w:rPr>
            </w:pPr>
            <w:r>
              <w:rPr>
                <w:b/>
                <w:bCs/>
                <w:snapToGrid w:val="0"/>
                <w:w w:val="100"/>
                <w:sz w:val="24"/>
                <w:szCs w:val="24"/>
              </w:rPr>
              <w:t>6、环境风险</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（1）物质风险识别</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对照《危险化学品目录</w:t>
            </w:r>
            <w:r>
              <w:rPr>
                <w:rFonts w:hint="eastAsia"/>
                <w:bCs/>
                <w:snapToGrid w:val="0"/>
                <w:w w:val="100"/>
                <w:sz w:val="24"/>
                <w:szCs w:val="24"/>
              </w:rPr>
              <w:t>（</w:t>
            </w:r>
            <w:r>
              <w:rPr>
                <w:bCs/>
                <w:snapToGrid w:val="0"/>
                <w:w w:val="100"/>
                <w:sz w:val="24"/>
                <w:szCs w:val="24"/>
              </w:rPr>
              <w:t>2018）》及《建设项目环境风险评价技术导则》（HJ169-2018）附录B中表B.1突发环境事件风险物质及临界量表，本项目风险物质</w:t>
            </w:r>
            <w:r>
              <w:rPr>
                <w:rFonts w:hint="eastAsia"/>
                <w:bCs/>
                <w:snapToGrid w:val="0"/>
                <w:w w:val="100"/>
                <w:sz w:val="24"/>
                <w:szCs w:val="24"/>
              </w:rPr>
              <w:t>如下：</w:t>
            </w:r>
          </w:p>
          <w:p>
            <w:pPr>
              <w:pStyle w:val="84"/>
              <w:keepNext w:val="0"/>
              <w:keepLines w:val="0"/>
              <w:pageBreakBefore w:val="0"/>
              <w:widowControl w:val="0"/>
              <w:kinsoku/>
              <w:wordWrap/>
              <w:overflowPunct/>
              <w:topLinePunct w:val="0"/>
              <w:autoSpaceDE/>
              <w:autoSpaceDN/>
              <w:bidi w:val="0"/>
              <w:adjustRightInd w:val="0"/>
              <w:snapToGrid w:val="0"/>
              <w:spacing w:before="157" w:beforeLines="50" w:after="157" w:afterLines="50"/>
              <w:ind w:left="0" w:leftChars="0" w:firstLine="422" w:firstLineChars="200"/>
              <w:textAlignment w:val="auto"/>
              <w:rPr>
                <w:rFonts w:hint="eastAsia" w:eastAsia="宋体"/>
                <w:b/>
                <w:snapToGrid w:val="0"/>
                <w:color w:val="000000"/>
                <w:w w:val="100"/>
                <w:sz w:val="21"/>
                <w:szCs w:val="21"/>
                <w:lang w:eastAsia="zh-CN"/>
              </w:rPr>
            </w:pPr>
            <w:r>
              <w:rPr>
                <w:rFonts w:hint="eastAsia"/>
                <w:b/>
                <w:snapToGrid w:val="0"/>
                <w:color w:val="000000"/>
                <w:w w:val="100"/>
                <w:sz w:val="21"/>
                <w:szCs w:val="21"/>
              </w:rPr>
              <w:t>表4-18本项目涉及危险物质计算</w:t>
            </w:r>
            <w:r>
              <w:rPr>
                <w:rFonts w:hint="eastAsia"/>
                <w:b/>
                <w:snapToGrid w:val="0"/>
                <w:color w:val="0000FF"/>
                <w:w w:val="100"/>
                <w:sz w:val="21"/>
                <w:szCs w:val="21"/>
                <w:lang w:eastAsia="zh-CN"/>
              </w:rPr>
              <w:t>（</w:t>
            </w:r>
            <w:r>
              <w:rPr>
                <w:rFonts w:hint="eastAsia"/>
                <w:b/>
                <w:snapToGrid w:val="0"/>
                <w:color w:val="000000"/>
                <w:w w:val="100"/>
                <w:sz w:val="21"/>
                <w:szCs w:val="21"/>
              </w:rPr>
              <w:t>单位：t</w:t>
            </w:r>
            <w:r>
              <w:rPr>
                <w:rFonts w:hint="eastAsia"/>
                <w:b/>
                <w:snapToGrid w:val="0"/>
                <w:color w:val="0000FF"/>
                <w:w w:val="100"/>
                <w:sz w:val="21"/>
                <w:szCs w:val="21"/>
                <w:lang w:eastAsia="zh-CN"/>
              </w:rPr>
              <w:t>）</w:t>
            </w:r>
          </w:p>
          <w:tbl>
            <w:tblPr>
              <w:tblStyle w:val="34"/>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2289"/>
              <w:gridCol w:w="1726"/>
              <w:gridCol w:w="1677"/>
              <w:gridCol w:w="17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ascii="Times New Roman" w:hAnsi="Times New Roman" w:eastAsia="宋体" w:cs="Times New Roman"/>
                      <w:b/>
                      <w:bCs w:val="0"/>
                      <w:snapToGrid w:val="0"/>
                      <w:color w:val="000000"/>
                      <w:w w:val="100"/>
                      <w:sz w:val="21"/>
                      <w:szCs w:val="21"/>
                      <w:highlight w:val="none"/>
                      <w:vertAlign w:val="baseline"/>
                      <w:lang w:val="en-US" w:eastAsia="zh-CN"/>
                    </w:rPr>
                  </w:pPr>
                  <w:r>
                    <w:rPr>
                      <w:rFonts w:hint="eastAsia" w:ascii="Times New Roman" w:hAnsi="Times New Roman" w:eastAsia="宋体" w:cs="Times New Roman"/>
                      <w:b/>
                      <w:bCs w:val="0"/>
                      <w:snapToGrid w:val="0"/>
                      <w:color w:val="000000"/>
                      <w:w w:val="100"/>
                      <w:sz w:val="21"/>
                      <w:szCs w:val="21"/>
                      <w:highlight w:val="none"/>
                      <w:vertAlign w:val="baseline"/>
                      <w:lang w:val="en-US" w:eastAsia="zh-CN"/>
                    </w:rPr>
                    <w:t>序号</w:t>
                  </w:r>
                </w:p>
              </w:tc>
              <w:tc>
                <w:tcPr>
                  <w:tcW w:w="1336"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ascii="Times New Roman" w:hAnsi="Times New Roman" w:eastAsia="宋体" w:cs="Times New Roman"/>
                      <w:b/>
                      <w:bCs w:val="0"/>
                      <w:snapToGrid w:val="0"/>
                      <w:color w:val="000000"/>
                      <w:w w:val="100"/>
                      <w:sz w:val="21"/>
                      <w:szCs w:val="21"/>
                      <w:highlight w:val="none"/>
                      <w:vertAlign w:val="baseline"/>
                      <w:lang w:val="en-US" w:eastAsia="zh-CN"/>
                    </w:rPr>
                  </w:pPr>
                  <w:r>
                    <w:rPr>
                      <w:rFonts w:hint="eastAsia" w:ascii="Times New Roman" w:hAnsi="Times New Roman" w:eastAsia="宋体" w:cs="Times New Roman"/>
                      <w:b/>
                      <w:bCs w:val="0"/>
                      <w:snapToGrid w:val="0"/>
                      <w:color w:val="000000"/>
                      <w:w w:val="100"/>
                      <w:sz w:val="21"/>
                      <w:szCs w:val="21"/>
                      <w:highlight w:val="none"/>
                      <w:vertAlign w:val="baseline"/>
                      <w:lang w:val="en-US" w:eastAsia="zh-CN"/>
                    </w:rPr>
                    <w:t>物质名称</w:t>
                  </w:r>
                </w:p>
              </w:tc>
              <w:tc>
                <w:tcPr>
                  <w:tcW w:w="100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ascii="Times New Roman" w:hAnsi="Times New Roman" w:eastAsia="宋体" w:cs="Times New Roman"/>
                      <w:b/>
                      <w:bCs w:val="0"/>
                      <w:snapToGrid w:val="0"/>
                      <w:color w:val="000000"/>
                      <w:w w:val="100"/>
                      <w:sz w:val="21"/>
                      <w:szCs w:val="21"/>
                      <w:highlight w:val="none"/>
                      <w:vertAlign w:val="baseline"/>
                      <w:lang w:val="en-US" w:eastAsia="zh-CN"/>
                    </w:rPr>
                  </w:pPr>
                  <w:r>
                    <w:rPr>
                      <w:rFonts w:hint="eastAsia" w:ascii="Times New Roman" w:hAnsi="Times New Roman" w:eastAsia="宋体" w:cs="Times New Roman"/>
                      <w:b/>
                      <w:bCs w:val="0"/>
                      <w:snapToGrid w:val="0"/>
                      <w:color w:val="000000"/>
                      <w:w w:val="100"/>
                      <w:sz w:val="21"/>
                      <w:szCs w:val="21"/>
                      <w:highlight w:val="none"/>
                      <w:vertAlign w:val="baseline"/>
                      <w:lang w:val="en-US" w:eastAsia="zh-CN"/>
                    </w:rPr>
                    <w:t>临界量</w:t>
                  </w:r>
                </w:p>
              </w:tc>
              <w:tc>
                <w:tcPr>
                  <w:tcW w:w="978"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ascii="Times New Roman" w:hAnsi="Times New Roman" w:eastAsia="宋体" w:cs="Times New Roman"/>
                      <w:b/>
                      <w:bCs w:val="0"/>
                      <w:snapToGrid w:val="0"/>
                      <w:color w:val="000000"/>
                      <w:w w:val="100"/>
                      <w:sz w:val="21"/>
                      <w:szCs w:val="21"/>
                      <w:highlight w:val="none"/>
                      <w:vertAlign w:val="baseline"/>
                      <w:lang w:val="en-US" w:eastAsia="zh-CN"/>
                    </w:rPr>
                  </w:pPr>
                  <w:r>
                    <w:rPr>
                      <w:rFonts w:hint="eastAsia" w:ascii="Times New Roman" w:hAnsi="Times New Roman" w:eastAsia="宋体" w:cs="Times New Roman"/>
                      <w:b/>
                      <w:bCs w:val="0"/>
                      <w:snapToGrid w:val="0"/>
                      <w:color w:val="000000"/>
                      <w:w w:val="100"/>
                      <w:sz w:val="21"/>
                      <w:szCs w:val="21"/>
                      <w:highlight w:val="none"/>
                      <w:vertAlign w:val="baseline"/>
                      <w:lang w:val="en-US" w:eastAsia="zh-CN"/>
                    </w:rPr>
                    <w:t>最大储存量</w:t>
                  </w:r>
                </w:p>
              </w:tc>
              <w:tc>
                <w:tcPr>
                  <w:tcW w:w="1000"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ascii="Times New Roman" w:hAnsi="Times New Roman" w:eastAsia="宋体" w:cs="Times New Roman"/>
                      <w:b/>
                      <w:bCs w:val="0"/>
                      <w:snapToGrid w:val="0"/>
                      <w:color w:val="000000"/>
                      <w:w w:val="100"/>
                      <w:sz w:val="21"/>
                      <w:szCs w:val="21"/>
                      <w:highlight w:val="none"/>
                      <w:vertAlign w:val="baseline"/>
                      <w:lang w:val="en-US" w:eastAsia="zh-CN"/>
                    </w:rPr>
                  </w:pPr>
                  <w:r>
                    <w:rPr>
                      <w:rFonts w:hint="eastAsia" w:ascii="Times New Roman" w:hAnsi="Times New Roman" w:eastAsia="宋体" w:cs="Times New Roman"/>
                      <w:b/>
                      <w:bCs w:val="0"/>
                      <w:snapToGrid w:val="0"/>
                      <w:color w:val="000000"/>
                      <w:w w:val="100"/>
                      <w:sz w:val="21"/>
                      <w:szCs w:val="21"/>
                      <w:highlight w:val="none"/>
                      <w:vertAlign w:val="baseline"/>
                      <w:lang w:val="en-US" w:eastAsia="zh-CN"/>
                    </w:rPr>
                    <w:t>Q</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ascii="Times New Roman" w:hAnsi="Times New Roman" w:eastAsia="宋体" w:cs="Times New Roman"/>
                      <w:b w:val="0"/>
                      <w:bCs/>
                      <w:snapToGrid w:val="0"/>
                      <w:color w:val="000000"/>
                      <w:w w:val="100"/>
                      <w:sz w:val="21"/>
                      <w:szCs w:val="21"/>
                      <w:highlight w:val="none"/>
                      <w:vertAlign w:val="baseline"/>
                      <w:lang w:val="en-US" w:eastAsia="zh-CN"/>
                    </w:rPr>
                  </w:pPr>
                  <w:r>
                    <w:rPr>
                      <w:rFonts w:hint="eastAsia" w:ascii="Times New Roman" w:hAnsi="Times New Roman" w:eastAsia="宋体" w:cs="Times New Roman"/>
                      <w:b w:val="0"/>
                      <w:bCs/>
                      <w:snapToGrid w:val="0"/>
                      <w:color w:val="000000"/>
                      <w:w w:val="100"/>
                      <w:sz w:val="21"/>
                      <w:szCs w:val="21"/>
                      <w:highlight w:val="none"/>
                      <w:vertAlign w:val="baseline"/>
                      <w:lang w:val="en-US" w:eastAsia="zh-CN"/>
                    </w:rPr>
                    <w:t>1</w:t>
                  </w:r>
                </w:p>
              </w:tc>
              <w:tc>
                <w:tcPr>
                  <w:tcW w:w="1336" w:type="pct"/>
                  <w:tcBorders>
                    <w:tl2br w:val="nil"/>
                    <w:tr2bl w:val="nil"/>
                  </w:tcBorders>
                  <w:noWrap w:val="0"/>
                  <w:vAlign w:val="center"/>
                </w:tcPr>
                <w:p>
                  <w:pPr>
                    <w:pStyle w:val="84"/>
                    <w:snapToGrid w:val="0"/>
                    <w:ind w:left="0" w:leftChars="0"/>
                    <w:rPr>
                      <w:rFonts w:hint="default" w:ascii="Times New Roman" w:hAnsi="Times New Roman" w:eastAsia="宋体" w:cs="Times New Roman"/>
                      <w:b w:val="0"/>
                      <w:bCs/>
                      <w:snapToGrid w:val="0"/>
                      <w:color w:val="000000"/>
                      <w:w w:val="100"/>
                      <w:sz w:val="21"/>
                      <w:szCs w:val="21"/>
                      <w:highlight w:val="none"/>
                      <w:vertAlign w:val="baseline"/>
                      <w:lang w:val="en-US" w:eastAsia="zh-CN"/>
                    </w:rPr>
                  </w:pPr>
                  <w:r>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t>废活性炭</w:t>
                  </w:r>
                </w:p>
              </w:tc>
              <w:tc>
                <w:tcPr>
                  <w:tcW w:w="100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ascii="Times New Roman" w:hAnsi="Times New Roman" w:eastAsia="宋体" w:cs="Times New Roman"/>
                      <w:b w:val="0"/>
                      <w:bCs/>
                      <w:snapToGrid w:val="0"/>
                      <w:color w:val="000000"/>
                      <w:w w:val="100"/>
                      <w:sz w:val="21"/>
                      <w:szCs w:val="21"/>
                      <w:highlight w:val="none"/>
                      <w:vertAlign w:val="baseline"/>
                      <w:lang w:val="en-US" w:eastAsia="zh-CN"/>
                    </w:rPr>
                  </w:pPr>
                  <w:r>
                    <w:rPr>
                      <w:rFonts w:hint="eastAsia" w:ascii="Times New Roman" w:hAnsi="Times New Roman" w:eastAsia="宋体" w:cs="Times New Roman"/>
                      <w:b w:val="0"/>
                      <w:bCs/>
                      <w:snapToGrid w:val="0"/>
                      <w:color w:val="000000"/>
                      <w:w w:val="100"/>
                      <w:sz w:val="21"/>
                      <w:szCs w:val="21"/>
                      <w:highlight w:val="none"/>
                      <w:vertAlign w:val="baseline"/>
                      <w:lang w:val="en-US" w:eastAsia="zh-CN"/>
                    </w:rPr>
                    <w:t>50</w:t>
                  </w:r>
                </w:p>
              </w:tc>
              <w:tc>
                <w:tcPr>
                  <w:tcW w:w="978" w:type="pct"/>
                  <w:tcBorders>
                    <w:tl2br w:val="nil"/>
                    <w:tr2bl w:val="nil"/>
                  </w:tcBorders>
                  <w:noWrap w:val="0"/>
                  <w:vAlign w:val="center"/>
                </w:tcPr>
                <w:p>
                  <w:pPr>
                    <w:pStyle w:val="84"/>
                    <w:snapToGrid w:val="0"/>
                    <w:ind w:left="0" w:leftChars="0"/>
                    <w:rPr>
                      <w:rFonts w:hint="default" w:ascii="Times New Roman" w:hAnsi="Times New Roman" w:eastAsia="宋体" w:cs="Times New Roman"/>
                      <w:b w:val="0"/>
                      <w:bCs/>
                      <w:snapToGrid w:val="0"/>
                      <w:color w:val="000000"/>
                      <w:w w:val="100"/>
                      <w:sz w:val="21"/>
                      <w:szCs w:val="21"/>
                      <w:highlight w:val="none"/>
                      <w:vertAlign w:val="baseline"/>
                      <w:lang w:val="en-US" w:eastAsia="zh-CN"/>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3.2</w:t>
                  </w:r>
                </w:p>
              </w:tc>
              <w:tc>
                <w:tcPr>
                  <w:tcW w:w="1000" w:type="pct"/>
                  <w:tcBorders>
                    <w:tl2br w:val="nil"/>
                    <w:tr2bl w:val="nil"/>
                  </w:tcBorders>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0.044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ascii="Times New Roman" w:hAnsi="Times New Roman" w:eastAsia="宋体" w:cs="Times New Roman"/>
                      <w:b w:val="0"/>
                      <w:bCs/>
                      <w:snapToGrid w:val="0"/>
                      <w:color w:val="000000"/>
                      <w:w w:val="100"/>
                      <w:sz w:val="21"/>
                      <w:szCs w:val="21"/>
                      <w:highlight w:val="none"/>
                      <w:vertAlign w:val="baseline"/>
                      <w:lang w:val="en-US" w:eastAsia="zh-CN"/>
                    </w:rPr>
                  </w:pPr>
                  <w:r>
                    <w:rPr>
                      <w:rFonts w:hint="eastAsia" w:ascii="Times New Roman" w:hAnsi="Times New Roman" w:eastAsia="宋体" w:cs="Times New Roman"/>
                      <w:b w:val="0"/>
                      <w:bCs/>
                      <w:snapToGrid w:val="0"/>
                      <w:color w:val="000000"/>
                      <w:w w:val="100"/>
                      <w:sz w:val="21"/>
                      <w:szCs w:val="21"/>
                      <w:highlight w:val="none"/>
                      <w:vertAlign w:val="baseline"/>
                      <w:lang w:val="en-US" w:eastAsia="zh-CN"/>
                    </w:rPr>
                    <w:t>2</w:t>
                  </w:r>
                </w:p>
              </w:tc>
              <w:tc>
                <w:tcPr>
                  <w:tcW w:w="1336" w:type="pct"/>
                  <w:tcBorders>
                    <w:tl2br w:val="nil"/>
                    <w:tr2bl w:val="nil"/>
                  </w:tcBorders>
                  <w:noWrap w:val="0"/>
                  <w:vAlign w:val="center"/>
                </w:tcPr>
                <w:p>
                  <w:pPr>
                    <w:pStyle w:val="84"/>
                    <w:snapToGrid w:val="0"/>
                    <w:ind w:left="0" w:leftChars="0"/>
                    <w:rPr>
                      <w:rFonts w:hint="default" w:ascii="Times New Roman" w:hAnsi="Times New Roman" w:eastAsia="宋体" w:cs="Times New Roman"/>
                      <w:b w:val="0"/>
                      <w:bCs/>
                      <w:snapToGrid w:val="0"/>
                      <w:color w:val="000000"/>
                      <w:w w:val="100"/>
                      <w:sz w:val="21"/>
                      <w:szCs w:val="21"/>
                      <w:highlight w:val="none"/>
                      <w:vertAlign w:val="baseline"/>
                      <w:lang w:val="en-US" w:eastAsia="zh-CN"/>
                    </w:rPr>
                  </w:pPr>
                  <w:r>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t>废机油</w:t>
                  </w:r>
                </w:p>
              </w:tc>
              <w:tc>
                <w:tcPr>
                  <w:tcW w:w="100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ascii="Times New Roman" w:hAnsi="Times New Roman" w:eastAsia="宋体"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2</w:t>
                  </w:r>
                  <w:r>
                    <w:rPr>
                      <w:rFonts w:hint="eastAsia" w:ascii="Times New Roman" w:hAnsi="Times New Roman" w:eastAsia="宋体" w:cs="Times New Roman"/>
                      <w:b w:val="0"/>
                      <w:bCs/>
                      <w:snapToGrid w:val="0"/>
                      <w:color w:val="000000"/>
                      <w:w w:val="100"/>
                      <w:sz w:val="21"/>
                      <w:szCs w:val="21"/>
                      <w:highlight w:val="none"/>
                      <w:vertAlign w:val="baseline"/>
                      <w:lang w:val="en-US" w:eastAsia="zh-CN"/>
                    </w:rPr>
                    <w:t>5</w:t>
                  </w:r>
                  <w:r>
                    <w:rPr>
                      <w:rFonts w:hint="eastAsia" w:cs="Times New Roman"/>
                      <w:b w:val="0"/>
                      <w:bCs/>
                      <w:snapToGrid w:val="0"/>
                      <w:color w:val="000000"/>
                      <w:w w:val="100"/>
                      <w:sz w:val="21"/>
                      <w:szCs w:val="21"/>
                      <w:highlight w:val="none"/>
                      <w:vertAlign w:val="baseline"/>
                      <w:lang w:val="en-US" w:eastAsia="zh-CN"/>
                    </w:rPr>
                    <w:t>0</w:t>
                  </w:r>
                  <w:r>
                    <w:rPr>
                      <w:rFonts w:hint="eastAsia" w:ascii="Times New Roman" w:hAnsi="Times New Roman" w:eastAsia="宋体" w:cs="Times New Roman"/>
                      <w:b w:val="0"/>
                      <w:bCs/>
                      <w:snapToGrid w:val="0"/>
                      <w:color w:val="000000"/>
                      <w:w w:val="100"/>
                      <w:sz w:val="21"/>
                      <w:szCs w:val="21"/>
                      <w:highlight w:val="none"/>
                      <w:vertAlign w:val="baseline"/>
                      <w:lang w:val="en-US" w:eastAsia="zh-CN"/>
                    </w:rPr>
                    <w:t>0</w:t>
                  </w:r>
                </w:p>
              </w:tc>
              <w:tc>
                <w:tcPr>
                  <w:tcW w:w="978" w:type="pct"/>
                  <w:tcBorders>
                    <w:tl2br w:val="nil"/>
                    <w:tr2bl w:val="nil"/>
                  </w:tcBorders>
                  <w:noWrap w:val="0"/>
                  <w:vAlign w:val="center"/>
                </w:tcPr>
                <w:p>
                  <w:pPr>
                    <w:pStyle w:val="84"/>
                    <w:snapToGrid w:val="0"/>
                    <w:ind w:left="0" w:leftChars="0"/>
                    <w:rPr>
                      <w:rFonts w:hint="default" w:ascii="Times New Roman" w:hAnsi="Times New Roman" w:eastAsia="宋体" w:cs="Times New Roman"/>
                      <w:b w:val="0"/>
                      <w:bCs/>
                      <w:snapToGrid w:val="0"/>
                      <w:color w:val="000000"/>
                      <w:w w:val="100"/>
                      <w:sz w:val="21"/>
                      <w:szCs w:val="21"/>
                      <w:highlight w:val="none"/>
                      <w:vertAlign w:val="baseline"/>
                      <w:lang w:val="en-US" w:eastAsia="zh-CN"/>
                    </w:rPr>
                  </w:pPr>
                  <w:r>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t>0.</w:t>
                  </w:r>
                  <w:r>
                    <w:rPr>
                      <w:rFonts w:hint="eastAsia" w:ascii="Times New Roman" w:hAnsi="Times New Roman" w:cs="Times New Roman"/>
                      <w:bCs/>
                      <w:snapToGrid w:val="0"/>
                      <w:color w:val="000000" w:themeColor="text1"/>
                      <w:w w:val="100"/>
                      <w:sz w:val="21"/>
                      <w:szCs w:val="21"/>
                      <w:highlight w:val="none"/>
                      <w:lang w:val="en-US" w:eastAsia="zh-CN"/>
                      <w14:textFill>
                        <w14:solidFill>
                          <w14:schemeClr w14:val="tx1"/>
                        </w14:solidFill>
                      </w14:textFill>
                    </w:rPr>
                    <w:t>00</w:t>
                  </w:r>
                  <w:r>
                    <w:rPr>
                      <w:rFonts w:ascii="Times New Roman" w:hAnsi="Times New Roman" w:cs="Times New Roman"/>
                      <w:bCs/>
                      <w:snapToGrid w:val="0"/>
                      <w:color w:val="000000" w:themeColor="text1"/>
                      <w:w w:val="100"/>
                      <w:sz w:val="21"/>
                      <w:szCs w:val="21"/>
                      <w:highlight w:val="none"/>
                      <w:lang w:val="en-US"/>
                      <w14:textFill>
                        <w14:solidFill>
                          <w14:schemeClr w14:val="tx1"/>
                        </w14:solidFill>
                      </w14:textFill>
                    </w:rPr>
                    <w:t>1</w:t>
                  </w:r>
                </w:p>
              </w:tc>
              <w:tc>
                <w:tcPr>
                  <w:tcW w:w="1000" w:type="pct"/>
                  <w:tcBorders>
                    <w:tl2br w:val="nil"/>
                    <w:tr2bl w:val="nil"/>
                  </w:tcBorders>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0.0000004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ascii="Times New Roman" w:hAnsi="Times New Roman" w:eastAsia="宋体"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3</w:t>
                  </w:r>
                </w:p>
              </w:tc>
              <w:tc>
                <w:tcPr>
                  <w:tcW w:w="1336" w:type="pct"/>
                  <w:tcBorders>
                    <w:tl2br w:val="nil"/>
                    <w:tr2bl w:val="nil"/>
                  </w:tcBorders>
                  <w:noWrap w:val="0"/>
                  <w:vAlign w:val="center"/>
                </w:tcPr>
                <w:p>
                  <w:pPr>
                    <w:pStyle w:val="84"/>
                    <w:snapToGrid w:val="0"/>
                    <w:ind w:left="0" w:leftChars="0"/>
                    <w:rPr>
                      <w:rFonts w:hint="eastAsia" w:ascii="Times New Roman" w:hAnsi="Times New Roman" w:eastAsia="宋体" w:cs="Times New Roman"/>
                      <w:b w:val="0"/>
                      <w:bCs/>
                      <w:snapToGrid w:val="0"/>
                      <w:color w:val="000000"/>
                      <w:w w:val="100"/>
                      <w:sz w:val="21"/>
                      <w:szCs w:val="21"/>
                      <w:highlight w:val="none"/>
                      <w:vertAlign w:val="baseline"/>
                      <w:lang w:val="en-US" w:eastAsia="zh-CN"/>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废机油桶</w:t>
                  </w:r>
                </w:p>
              </w:tc>
              <w:tc>
                <w:tcPr>
                  <w:tcW w:w="100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ascii="Times New Roman" w:hAnsi="Times New Roman" w:eastAsia="宋体"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2500</w:t>
                  </w:r>
                </w:p>
              </w:tc>
              <w:tc>
                <w:tcPr>
                  <w:tcW w:w="978" w:type="pct"/>
                  <w:tcBorders>
                    <w:tl2br w:val="nil"/>
                    <w:tr2bl w:val="nil"/>
                  </w:tcBorders>
                  <w:noWrap w:val="0"/>
                  <w:vAlign w:val="center"/>
                </w:tcPr>
                <w:p>
                  <w:pPr>
                    <w:pStyle w:val="84"/>
                    <w:snapToGrid w:val="0"/>
                    <w:ind w:left="0" w:leftChars="0"/>
                    <w:rPr>
                      <w:rFonts w:hint="default" w:ascii="Times New Roman" w:hAnsi="Times New Roman" w:eastAsia="宋体" w:cs="Times New Roman"/>
                      <w:b w:val="0"/>
                      <w:bCs/>
                      <w:snapToGrid w:val="0"/>
                      <w:color w:val="000000"/>
                      <w:w w:val="100"/>
                      <w:sz w:val="21"/>
                      <w:szCs w:val="21"/>
                      <w:highlight w:val="none"/>
                      <w:vertAlign w:val="baseline"/>
                      <w:lang w:val="en-US" w:eastAsia="zh-CN"/>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0.02</w:t>
                  </w:r>
                </w:p>
              </w:tc>
              <w:tc>
                <w:tcPr>
                  <w:tcW w:w="1000" w:type="pct"/>
                  <w:tcBorders>
                    <w:tl2br w:val="nil"/>
                    <w:tr2bl w:val="nil"/>
                  </w:tcBorders>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0.000008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4</w:t>
                  </w:r>
                </w:p>
              </w:tc>
              <w:tc>
                <w:tcPr>
                  <w:tcW w:w="1336" w:type="pct"/>
                  <w:tcBorders>
                    <w:tl2br w:val="nil"/>
                    <w:tr2bl w:val="nil"/>
                  </w:tcBorders>
                  <w:noWrap w:val="0"/>
                  <w:vAlign w:val="center"/>
                </w:tcPr>
                <w:p>
                  <w:pPr>
                    <w:pStyle w:val="84"/>
                    <w:snapToGrid w:val="0"/>
                    <w:ind w:left="0" w:leftChars="0"/>
                    <w:rPr>
                      <w:rFonts w:hint="eastAsia" w:cs="Times New Roman"/>
                      <w:b w:val="0"/>
                      <w:bCs/>
                      <w:snapToGrid w:val="0"/>
                      <w:color w:val="000000"/>
                      <w:w w:val="100"/>
                      <w:sz w:val="21"/>
                      <w:szCs w:val="21"/>
                      <w:highlight w:val="none"/>
                      <w:vertAlign w:val="baseline"/>
                      <w:lang w:val="en-US" w:eastAsia="zh-CN"/>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铝渣</w:t>
                  </w:r>
                </w:p>
              </w:tc>
              <w:tc>
                <w:tcPr>
                  <w:tcW w:w="100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50</w:t>
                  </w:r>
                </w:p>
              </w:tc>
              <w:tc>
                <w:tcPr>
                  <w:tcW w:w="978" w:type="pct"/>
                  <w:tcBorders>
                    <w:tl2br w:val="nil"/>
                    <w:tr2bl w:val="nil"/>
                  </w:tcBorders>
                  <w:noWrap w:val="0"/>
                  <w:vAlign w:val="center"/>
                </w:tcPr>
                <w:p>
                  <w:pPr>
                    <w:pStyle w:val="84"/>
                    <w:snapToGrid w:val="0"/>
                    <w:ind w:left="0" w:leftChars="0"/>
                    <w:rPr>
                      <w:rFonts w:hint="eastAsia" w:cs="Times New Roman"/>
                      <w:b w:val="0"/>
                      <w:bCs/>
                      <w:snapToGrid w:val="0"/>
                      <w:color w:val="000000"/>
                      <w:w w:val="100"/>
                      <w:sz w:val="21"/>
                      <w:szCs w:val="21"/>
                      <w:highlight w:val="none"/>
                      <w:vertAlign w:val="baseline"/>
                      <w:lang w:val="en-US" w:eastAsia="zh-CN"/>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2</w:t>
                  </w:r>
                </w:p>
              </w:tc>
              <w:tc>
                <w:tcPr>
                  <w:tcW w:w="1000" w:type="pct"/>
                  <w:tcBorders>
                    <w:tl2br w:val="nil"/>
                    <w:tr2bl w:val="nil"/>
                  </w:tcBorders>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5</w:t>
                  </w:r>
                </w:p>
              </w:tc>
              <w:tc>
                <w:tcPr>
                  <w:tcW w:w="1336" w:type="pct"/>
                  <w:tcBorders>
                    <w:tl2br w:val="nil"/>
                    <w:tr2bl w:val="nil"/>
                  </w:tcBorders>
                  <w:noWrap w:val="0"/>
                  <w:vAlign w:val="center"/>
                </w:tcPr>
                <w:p>
                  <w:pPr>
                    <w:pStyle w:val="84"/>
                    <w:snapToGrid w:val="0"/>
                    <w:ind w:left="0" w:leftChars="0"/>
                    <w:rPr>
                      <w:rFonts w:hint="eastAsia" w:cs="Times New Roman"/>
                      <w:b w:val="0"/>
                      <w:bCs/>
                      <w:snapToGrid w:val="0"/>
                      <w:color w:val="000000"/>
                      <w:w w:val="100"/>
                      <w:sz w:val="21"/>
                      <w:szCs w:val="21"/>
                      <w:highlight w:val="none"/>
                      <w:vertAlign w:val="baseline"/>
                      <w:lang w:val="en-US" w:eastAsia="zh-CN"/>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除尘器收集的铝烟尘</w:t>
                  </w:r>
                </w:p>
              </w:tc>
              <w:tc>
                <w:tcPr>
                  <w:tcW w:w="100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50</w:t>
                  </w:r>
                </w:p>
              </w:tc>
              <w:tc>
                <w:tcPr>
                  <w:tcW w:w="978" w:type="pct"/>
                  <w:tcBorders>
                    <w:tl2br w:val="nil"/>
                    <w:tr2bl w:val="nil"/>
                  </w:tcBorders>
                  <w:noWrap w:val="0"/>
                  <w:vAlign w:val="center"/>
                </w:tcPr>
                <w:p>
                  <w:pPr>
                    <w:pStyle w:val="84"/>
                    <w:snapToGrid w:val="0"/>
                    <w:ind w:left="0" w:leftChars="0"/>
                    <w:rPr>
                      <w:rFonts w:hint="eastAsia" w:cs="Times New Roman"/>
                      <w:b w:val="0"/>
                      <w:bCs/>
                      <w:snapToGrid w:val="0"/>
                      <w:color w:val="000000"/>
                      <w:w w:val="100"/>
                      <w:sz w:val="21"/>
                      <w:szCs w:val="21"/>
                      <w:highlight w:val="none"/>
                      <w:vertAlign w:val="baseline"/>
                      <w:lang w:val="en-US" w:eastAsia="zh-CN"/>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0.1701</w:t>
                  </w:r>
                </w:p>
              </w:tc>
              <w:tc>
                <w:tcPr>
                  <w:tcW w:w="1000" w:type="pct"/>
                  <w:tcBorders>
                    <w:tl2br w:val="nil"/>
                    <w:tr2bl w:val="nil"/>
                  </w:tcBorders>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0.003402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6</w:t>
                  </w:r>
                </w:p>
              </w:tc>
              <w:tc>
                <w:tcPr>
                  <w:tcW w:w="1336" w:type="pct"/>
                  <w:tcBorders>
                    <w:tl2br w:val="nil"/>
                    <w:tr2bl w:val="nil"/>
                  </w:tcBorders>
                  <w:noWrap w:val="0"/>
                  <w:vAlign w:val="center"/>
                </w:tcPr>
                <w:p>
                  <w:pPr>
                    <w:pStyle w:val="84"/>
                    <w:snapToGrid w:val="0"/>
                    <w:ind w:left="0" w:leftChars="0"/>
                    <w:rPr>
                      <w:rFonts w:hint="eastAsia" w:cs="Times New Roman"/>
                      <w:b w:val="0"/>
                      <w:bCs/>
                      <w:snapToGrid w:val="0"/>
                      <w:color w:val="000000"/>
                      <w:w w:val="100"/>
                      <w:sz w:val="21"/>
                      <w:szCs w:val="21"/>
                      <w:highlight w:val="none"/>
                      <w:vertAlign w:val="baseline"/>
                      <w:lang w:val="en-US" w:eastAsia="zh-CN"/>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脱模剂废液</w:t>
                  </w:r>
                </w:p>
              </w:tc>
              <w:tc>
                <w:tcPr>
                  <w:tcW w:w="100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2500</w:t>
                  </w:r>
                </w:p>
              </w:tc>
              <w:tc>
                <w:tcPr>
                  <w:tcW w:w="978" w:type="pct"/>
                  <w:tcBorders>
                    <w:tl2br w:val="nil"/>
                    <w:tr2bl w:val="nil"/>
                  </w:tcBorders>
                  <w:noWrap w:val="0"/>
                  <w:vAlign w:val="center"/>
                </w:tcPr>
                <w:p>
                  <w:pPr>
                    <w:pStyle w:val="84"/>
                    <w:snapToGrid w:val="0"/>
                    <w:ind w:left="0" w:leftChars="0"/>
                    <w:rPr>
                      <w:rFonts w:hint="eastAsia" w:cs="Times New Roman"/>
                      <w:b w:val="0"/>
                      <w:bCs/>
                      <w:snapToGrid w:val="0"/>
                      <w:color w:val="000000"/>
                      <w:w w:val="100"/>
                      <w:sz w:val="21"/>
                      <w:szCs w:val="21"/>
                      <w:highlight w:val="none"/>
                      <w:vertAlign w:val="baseline"/>
                      <w:lang w:val="en-US" w:eastAsia="zh-CN"/>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0.25</w:t>
                  </w:r>
                </w:p>
              </w:tc>
              <w:tc>
                <w:tcPr>
                  <w:tcW w:w="1000" w:type="pct"/>
                  <w:tcBorders>
                    <w:tl2br w:val="nil"/>
                    <w:tr2bl w:val="nil"/>
                  </w:tcBorders>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0.0001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7</w:t>
                  </w:r>
                </w:p>
              </w:tc>
              <w:tc>
                <w:tcPr>
                  <w:tcW w:w="1336" w:type="pct"/>
                  <w:tcBorders>
                    <w:tl2br w:val="nil"/>
                    <w:tr2bl w:val="nil"/>
                  </w:tcBorders>
                  <w:noWrap w:val="0"/>
                  <w:vAlign w:val="center"/>
                </w:tcPr>
                <w:p>
                  <w:pPr>
                    <w:pStyle w:val="84"/>
                    <w:snapToGrid w:val="0"/>
                    <w:ind w:left="0" w:leftChars="0"/>
                    <w:rPr>
                      <w:rFonts w:hint="eastAsia" w:cs="Times New Roman"/>
                      <w:b w:val="0"/>
                      <w:bCs/>
                      <w:snapToGrid w:val="0"/>
                      <w:color w:val="000000"/>
                      <w:w w:val="100"/>
                      <w:sz w:val="21"/>
                      <w:szCs w:val="21"/>
                      <w:highlight w:val="none"/>
                      <w:vertAlign w:val="baseline"/>
                      <w:lang w:val="en-US" w:eastAsia="zh-CN"/>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废包装桶</w:t>
                  </w:r>
                </w:p>
              </w:tc>
              <w:tc>
                <w:tcPr>
                  <w:tcW w:w="100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50</w:t>
                  </w:r>
                </w:p>
              </w:tc>
              <w:tc>
                <w:tcPr>
                  <w:tcW w:w="978" w:type="pct"/>
                  <w:tcBorders>
                    <w:tl2br w:val="nil"/>
                    <w:tr2bl w:val="nil"/>
                  </w:tcBorders>
                  <w:noWrap w:val="0"/>
                  <w:vAlign w:val="center"/>
                </w:tcPr>
                <w:p>
                  <w:pPr>
                    <w:pStyle w:val="84"/>
                    <w:snapToGrid w:val="0"/>
                    <w:ind w:left="0" w:leftChars="0"/>
                    <w:rPr>
                      <w:rFonts w:hint="eastAsia" w:cs="Times New Roman"/>
                      <w:b w:val="0"/>
                      <w:bCs/>
                      <w:snapToGrid w:val="0"/>
                      <w:color w:val="000000"/>
                      <w:w w:val="100"/>
                      <w:sz w:val="21"/>
                      <w:szCs w:val="21"/>
                      <w:highlight w:val="none"/>
                      <w:vertAlign w:val="baseline"/>
                      <w:lang w:val="en-US" w:eastAsia="zh-CN"/>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0.4</w:t>
                  </w:r>
                </w:p>
              </w:tc>
              <w:tc>
                <w:tcPr>
                  <w:tcW w:w="1000" w:type="pct"/>
                  <w:tcBorders>
                    <w:tl2br w:val="nil"/>
                    <w:tr2bl w:val="nil"/>
                  </w:tcBorders>
                  <w:noWrap w:val="0"/>
                  <w:vAlign w:val="center"/>
                </w:tcPr>
                <w:p>
                  <w:pPr>
                    <w:pStyle w:val="84"/>
                    <w:snapToGrid w:val="0"/>
                    <w:ind w:left="0" w:leftChars="0"/>
                    <w:rPr>
                      <w:rFonts w:hint="eastAsia"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8</w:t>
                  </w:r>
                </w:p>
              </w:tc>
              <w:tc>
                <w:tcPr>
                  <w:tcW w:w="1336" w:type="pct"/>
                  <w:tcBorders>
                    <w:tl2br w:val="nil"/>
                    <w:tr2bl w:val="nil"/>
                  </w:tcBorders>
                  <w:noWrap w:val="0"/>
                  <w:vAlign w:val="center"/>
                </w:tcPr>
                <w:p>
                  <w:pPr>
                    <w:pStyle w:val="84"/>
                    <w:snapToGrid w:val="0"/>
                    <w:ind w:left="0" w:leftChars="0"/>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脱模剂</w:t>
                  </w:r>
                </w:p>
              </w:tc>
              <w:tc>
                <w:tcPr>
                  <w:tcW w:w="100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2500</w:t>
                  </w:r>
                </w:p>
              </w:tc>
              <w:tc>
                <w:tcPr>
                  <w:tcW w:w="978" w:type="pct"/>
                  <w:tcBorders>
                    <w:tl2br w:val="nil"/>
                    <w:tr2bl w:val="nil"/>
                  </w:tcBorders>
                  <w:noWrap w:val="0"/>
                  <w:vAlign w:val="center"/>
                </w:tcPr>
                <w:p>
                  <w:pPr>
                    <w:pStyle w:val="84"/>
                    <w:snapToGrid w:val="0"/>
                    <w:ind w:left="0" w:leftChars="0"/>
                    <w:rPr>
                      <w:rFonts w:hint="default" w:cs="Times New Roman"/>
                      <w:b w:val="0"/>
                      <w:bCs/>
                      <w:snapToGrid w:val="0"/>
                      <w:color w:val="000000"/>
                      <w:w w:val="100"/>
                      <w:sz w:val="21"/>
                      <w:szCs w:val="21"/>
                      <w:highlight w:val="none"/>
                      <w:vertAlign w:val="baseline"/>
                      <w:lang w:val="en-US" w:eastAsia="zh-CN"/>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0.5</w:t>
                  </w:r>
                </w:p>
              </w:tc>
              <w:tc>
                <w:tcPr>
                  <w:tcW w:w="1000" w:type="pct"/>
                  <w:tcBorders>
                    <w:tl2br w:val="nil"/>
                    <w:tr2bl w:val="nil"/>
                  </w:tcBorders>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0.0002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9</w:t>
                  </w:r>
                </w:p>
              </w:tc>
              <w:tc>
                <w:tcPr>
                  <w:tcW w:w="1336" w:type="pct"/>
                  <w:tcBorders>
                    <w:tl2br w:val="nil"/>
                    <w:tr2bl w:val="nil"/>
                  </w:tcBorders>
                  <w:noWrap w:val="0"/>
                  <w:vAlign w:val="center"/>
                </w:tcPr>
                <w:p>
                  <w:pPr>
                    <w:pStyle w:val="84"/>
                    <w:snapToGrid w:val="0"/>
                    <w:ind w:left="0" w:leftChars="0"/>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废切削液</w:t>
                  </w:r>
                </w:p>
              </w:tc>
              <w:tc>
                <w:tcPr>
                  <w:tcW w:w="100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50</w:t>
                  </w:r>
                </w:p>
              </w:tc>
              <w:tc>
                <w:tcPr>
                  <w:tcW w:w="978" w:type="pct"/>
                  <w:tcBorders>
                    <w:tl2br w:val="nil"/>
                    <w:tr2bl w:val="nil"/>
                  </w:tcBorders>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0.1</w:t>
                  </w:r>
                </w:p>
              </w:tc>
              <w:tc>
                <w:tcPr>
                  <w:tcW w:w="1000" w:type="pct"/>
                  <w:tcBorders>
                    <w:tl2br w:val="nil"/>
                    <w:tr2bl w:val="nil"/>
                  </w:tcBorders>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10</w:t>
                  </w:r>
                </w:p>
              </w:tc>
              <w:tc>
                <w:tcPr>
                  <w:tcW w:w="1336" w:type="pct"/>
                  <w:tcBorders>
                    <w:tl2br w:val="nil"/>
                    <w:tr2bl w:val="nil"/>
                  </w:tcBorders>
                  <w:noWrap w:val="0"/>
                  <w:vAlign w:val="center"/>
                </w:tcPr>
                <w:p>
                  <w:pPr>
                    <w:pStyle w:val="84"/>
                    <w:snapToGrid w:val="0"/>
                    <w:ind w:left="0" w:leftChars="0"/>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沉淀池残渣</w:t>
                  </w:r>
                </w:p>
              </w:tc>
              <w:tc>
                <w:tcPr>
                  <w:tcW w:w="1007" w:type="pct"/>
                  <w:tcBorders>
                    <w:tl2br w:val="nil"/>
                    <w:tr2bl w:val="nil"/>
                  </w:tcBorders>
                  <w:noWrap w:val="0"/>
                  <w:vAlign w:val="center"/>
                </w:tcPr>
                <w:p>
                  <w:pPr>
                    <w:pStyle w:val="84"/>
                    <w:keepNext w:val="0"/>
                    <w:keepLines w:val="0"/>
                    <w:pageBreakBefore w:val="0"/>
                    <w:widowControl w:val="0"/>
                    <w:kinsoku/>
                    <w:wordWrap/>
                    <w:overflowPunct/>
                    <w:topLinePunct w:val="0"/>
                    <w:autoSpaceDE w:val="0"/>
                    <w:autoSpaceDN w:val="0"/>
                    <w:bidi w:val="0"/>
                    <w:adjustRightInd w:val="0"/>
                    <w:snapToGrid w:val="0"/>
                    <w:spacing w:line="240" w:lineRule="auto"/>
                    <w:ind w:left="0" w:leftChars="0"/>
                    <w:jc w:val="center"/>
                    <w:textAlignment w:val="auto"/>
                    <w:rPr>
                      <w:rFonts w:hint="default" w:cs="Times New Roman"/>
                      <w:b w:val="0"/>
                      <w:bCs/>
                      <w:snapToGrid w:val="0"/>
                      <w:color w:val="000000"/>
                      <w:w w:val="100"/>
                      <w:sz w:val="21"/>
                      <w:szCs w:val="21"/>
                      <w:highlight w:val="none"/>
                      <w:vertAlign w:val="baseline"/>
                      <w:lang w:val="en-US" w:eastAsia="zh-CN"/>
                    </w:rPr>
                  </w:pPr>
                  <w:r>
                    <w:rPr>
                      <w:rFonts w:hint="eastAsia" w:cs="Times New Roman"/>
                      <w:b w:val="0"/>
                      <w:bCs/>
                      <w:snapToGrid w:val="0"/>
                      <w:color w:val="000000"/>
                      <w:w w:val="100"/>
                      <w:sz w:val="21"/>
                      <w:szCs w:val="21"/>
                      <w:highlight w:val="none"/>
                      <w:vertAlign w:val="baseline"/>
                      <w:lang w:val="en-US" w:eastAsia="zh-CN"/>
                    </w:rPr>
                    <w:t>50</w:t>
                  </w:r>
                </w:p>
              </w:tc>
              <w:tc>
                <w:tcPr>
                  <w:tcW w:w="978" w:type="pct"/>
                  <w:tcBorders>
                    <w:tl2br w:val="nil"/>
                    <w:tr2bl w:val="nil"/>
                  </w:tcBorders>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0.2</w:t>
                  </w:r>
                </w:p>
              </w:tc>
              <w:tc>
                <w:tcPr>
                  <w:tcW w:w="1000" w:type="pct"/>
                  <w:tcBorders>
                    <w:tl2br w:val="nil"/>
                    <w:tr2bl w:val="nil"/>
                  </w:tcBorders>
                  <w:noWrap w:val="0"/>
                  <w:vAlign w:val="center"/>
                </w:tcPr>
                <w:p>
                  <w:pPr>
                    <w:pStyle w:val="84"/>
                    <w:snapToGrid w:val="0"/>
                    <w:ind w:left="0" w:leftChars="0"/>
                    <w:rPr>
                      <w:rFonts w:hint="default" w:cs="Times New Roman"/>
                      <w:bCs/>
                      <w:snapToGrid w:val="0"/>
                      <w:color w:val="000000" w:themeColor="text1"/>
                      <w:w w:val="100"/>
                      <w:sz w:val="21"/>
                      <w:szCs w:val="21"/>
                      <w:highlight w:val="none"/>
                      <w:lang w:val="en-US" w:eastAsia="zh-CN"/>
                      <w14:textFill>
                        <w14:solidFill>
                          <w14:schemeClr w14:val="tx1"/>
                        </w14:solidFill>
                      </w14:textFill>
                    </w:rPr>
                  </w:pPr>
                  <w:r>
                    <w:rPr>
                      <w:rFonts w:hint="eastAsia" w:cs="Times New Roman"/>
                      <w:bCs/>
                      <w:snapToGrid w:val="0"/>
                      <w:color w:val="000000" w:themeColor="text1"/>
                      <w:w w:val="100"/>
                      <w:sz w:val="21"/>
                      <w:szCs w:val="21"/>
                      <w:highlight w:val="none"/>
                      <w:lang w:val="en-US" w:eastAsia="zh-CN"/>
                      <w14:textFill>
                        <w14:solidFill>
                          <w14:schemeClr w14:val="tx1"/>
                        </w14:solidFill>
                      </w14:textFill>
                    </w:rPr>
                    <w:t>0.004</w:t>
                  </w:r>
                </w:p>
              </w:tc>
            </w:tr>
          </w:tbl>
          <w:p>
            <w:pPr>
              <w:pStyle w:val="84"/>
              <w:snapToGrid w:val="0"/>
              <w:spacing w:line="500" w:lineRule="exact"/>
              <w:ind w:left="0" w:leftChars="0" w:firstLine="420" w:firstLineChars="200"/>
              <w:jc w:val="left"/>
              <w:rPr>
                <w:bCs/>
                <w:snapToGrid w:val="0"/>
                <w:w w:val="100"/>
                <w:sz w:val="24"/>
                <w:szCs w:val="24"/>
              </w:rPr>
            </w:pPr>
            <w:r>
              <w:rPr>
                <w:bCs/>
                <w:snapToGrid w:val="0"/>
                <w:w w:val="100"/>
                <w:sz w:val="21"/>
                <w:szCs w:val="21"/>
              </w:rPr>
              <w:t>（</w:t>
            </w:r>
            <w:r>
              <w:rPr>
                <w:bCs/>
                <w:snapToGrid w:val="0"/>
                <w:w w:val="100"/>
                <w:sz w:val="24"/>
                <w:szCs w:val="24"/>
              </w:rPr>
              <w:t>2）生产系统危险性识别</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包括生产设施风险识别和生产过程所涉及的物质风险识别。</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1）生产设施风险识别范围包括：主要生产工艺、生产装置、储运系统、公用工程系统、工程环保设施及辅助生产设施等。</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2）物质风险识别范围包括：主要原辅材料、燃料、产品以及生产过程排放的</w:t>
            </w:r>
            <w:r>
              <w:rPr>
                <w:rFonts w:hint="eastAsia"/>
                <w:bCs/>
                <w:snapToGrid w:val="0"/>
                <w:color w:val="0000FF"/>
                <w:w w:val="100"/>
                <w:sz w:val="24"/>
                <w:szCs w:val="24"/>
                <w:lang w:eastAsia="zh-CN"/>
              </w:rPr>
              <w:t>“</w:t>
            </w:r>
            <w:r>
              <w:rPr>
                <w:bCs/>
                <w:snapToGrid w:val="0"/>
                <w:w w:val="100"/>
                <w:sz w:val="24"/>
                <w:szCs w:val="24"/>
              </w:rPr>
              <w:t>三废</w:t>
            </w:r>
            <w:r>
              <w:rPr>
                <w:rFonts w:hint="eastAsia"/>
                <w:bCs/>
                <w:snapToGrid w:val="0"/>
                <w:color w:val="0000FF"/>
                <w:w w:val="100"/>
                <w:sz w:val="24"/>
                <w:szCs w:val="24"/>
                <w:lang w:eastAsia="zh-CN"/>
              </w:rPr>
              <w:t>”</w:t>
            </w:r>
            <w:r>
              <w:rPr>
                <w:bCs/>
                <w:snapToGrid w:val="0"/>
                <w:w w:val="100"/>
                <w:sz w:val="24"/>
                <w:szCs w:val="24"/>
              </w:rPr>
              <w:t>污染物等。结合本项目情况，根据有毒有害物质放散起因，本项目风险类别主要为火灾和爆炸。考虑泄漏造成的污染物事故排放，不考虑自然灾害如地震、洪水、台风等引起的事故风险。</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3）生产设施、储运设施</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项目危险废物在运输过程中发生泄漏。</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4）环保设施</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废气处理装置。因废气处理装置出现故障，可能造成废气污染物超标排放。</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5）运输</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在原料、产品运输过程中，如运输不当、运输车辆故障、车祸、原料及产品包装不严等情况，可能发生泄漏事故。</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6）其他情况</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在物料转运、产品检验等其他情况下，也可能发生物料泄漏、火灾和爆炸事故。</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（3）危险物质向环境转移的途径识别</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1）大气污染事故风险。本项目设置废气处理设施，所产生的废气为有组织排放及无组织排放，若产生的废气浓度过高，则将造成大气污染，并可能通过大气沉降及降雨条件下造成地表水环境、土壤环境和地下水环境污染。</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2）水污染事故风险。本项目公用工程可能发生水污染事故风险的主要是污水处理设施的事故性排放。一方面，若发生泄漏或火灾到大量污水短时进入污水处理设施，产生的废水量较多，则会导致事故性排放；另一方面，污水管网破漏，导致废水的事故性排放。</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3）伴生/次生事故环境风险识别</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烟尘与空气（或氧气）必须在一定的浓度范围内均匀混合，形成预混气，遇着火源就会发生爆炸。同时，若相关设施的消防距离不能满足相关安全标准；发生爆炸事故时，可能会引起</w:t>
            </w:r>
            <w:r>
              <w:rPr>
                <w:rFonts w:hint="eastAsia"/>
                <w:bCs/>
                <w:snapToGrid w:val="0"/>
                <w:w w:val="100"/>
                <w:sz w:val="24"/>
                <w:szCs w:val="24"/>
                <w:lang w:eastAsia="zh-CN"/>
              </w:rPr>
              <w:t>连锁反应</w:t>
            </w:r>
            <w:r>
              <w:rPr>
                <w:bCs/>
                <w:snapToGrid w:val="0"/>
                <w:w w:val="100"/>
                <w:sz w:val="24"/>
                <w:szCs w:val="24"/>
              </w:rPr>
              <w:t>和重叠的火灾爆炸事故，进而造成重大的人员伤亡和经济损失。</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（4）向环境转移途径</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空气、水体和土壤等环境要素是危险性物质向环境转移的最基本的途径，同时这三种要素之间又随时发生着物质和能量的传递，污染物进入环境后，随着空气和水体环境发生推流迁移、分散稀释和降解转化运动。本项目主要化学物料常温常压储存，若物质发生泄漏而形成液池，即通过质量蒸发进入空气，另外部分泄漏液体可能随消防液进入水体，污染水体。</w:t>
            </w:r>
          </w:p>
          <w:p>
            <w:pPr>
              <w:pStyle w:val="84"/>
              <w:snapToGrid w:val="0"/>
              <w:spacing w:line="500" w:lineRule="exact"/>
              <w:ind w:left="0" w:leftChars="0" w:firstLine="480" w:firstLineChars="200"/>
              <w:jc w:val="left"/>
              <w:rPr>
                <w:bCs/>
                <w:snapToGrid w:val="0"/>
                <w:color w:val="000000"/>
                <w:w w:val="100"/>
                <w:sz w:val="24"/>
                <w:szCs w:val="24"/>
              </w:rPr>
            </w:pPr>
            <w:r>
              <w:rPr>
                <w:bCs/>
                <w:snapToGrid w:val="0"/>
                <w:color w:val="000000"/>
                <w:w w:val="100"/>
                <w:sz w:val="24"/>
                <w:szCs w:val="24"/>
              </w:rPr>
              <w:t>（5）风险防范措施</w:t>
            </w:r>
          </w:p>
          <w:p>
            <w:pPr>
              <w:pStyle w:val="84"/>
              <w:snapToGrid w:val="0"/>
              <w:spacing w:line="500" w:lineRule="exact"/>
              <w:ind w:left="0" w:leftChars="0" w:firstLine="480" w:firstLineChars="200"/>
              <w:jc w:val="left"/>
              <w:rPr>
                <w:bCs/>
                <w:snapToGrid w:val="0"/>
                <w:color w:val="000000"/>
                <w:w w:val="100"/>
                <w:sz w:val="24"/>
                <w:szCs w:val="24"/>
              </w:rPr>
            </w:pPr>
            <w:r>
              <w:rPr>
                <w:bCs/>
                <w:snapToGrid w:val="0"/>
                <w:color w:val="000000"/>
                <w:w w:val="100"/>
                <w:sz w:val="24"/>
                <w:szCs w:val="24"/>
              </w:rPr>
              <w:t>1）风险管理</w:t>
            </w:r>
          </w:p>
          <w:p>
            <w:pPr>
              <w:pStyle w:val="84"/>
              <w:snapToGrid w:val="0"/>
              <w:spacing w:line="500" w:lineRule="exact"/>
              <w:ind w:left="0" w:leftChars="0" w:firstLine="480" w:firstLineChars="200"/>
              <w:jc w:val="left"/>
              <w:rPr>
                <w:bCs/>
                <w:snapToGrid w:val="0"/>
                <w:color w:val="000000"/>
                <w:w w:val="100"/>
                <w:sz w:val="24"/>
                <w:szCs w:val="24"/>
              </w:rPr>
            </w:pPr>
            <w:r>
              <w:rPr>
                <w:bCs/>
                <w:snapToGrid w:val="0"/>
                <w:color w:val="000000"/>
                <w:w w:val="100"/>
                <w:sz w:val="24"/>
                <w:szCs w:val="24"/>
              </w:rPr>
              <w:t>安全生产是企业立厂之本，一定要强化风险意识、加强安全管理，具体要求如下：</w:t>
            </w:r>
          </w:p>
          <w:p>
            <w:pPr>
              <w:pStyle w:val="84"/>
              <w:snapToGrid w:val="0"/>
              <w:spacing w:line="500" w:lineRule="exact"/>
              <w:ind w:left="0" w:leftChars="0" w:firstLine="480" w:firstLineChars="200"/>
              <w:jc w:val="left"/>
              <w:rPr>
                <w:bCs/>
                <w:snapToGrid w:val="0"/>
                <w:color w:val="000000"/>
                <w:w w:val="100"/>
                <w:sz w:val="24"/>
                <w:szCs w:val="24"/>
              </w:rPr>
            </w:pPr>
            <w:r>
              <w:rPr>
                <w:bCs/>
                <w:snapToGrid w:val="0"/>
                <w:color w:val="000000"/>
                <w:w w:val="100"/>
                <w:sz w:val="24"/>
                <w:szCs w:val="24"/>
              </w:rPr>
              <w:t>1、必须将</w:t>
            </w:r>
            <w:r>
              <w:rPr>
                <w:rFonts w:hint="eastAsia"/>
                <w:bCs/>
                <w:snapToGrid w:val="0"/>
                <w:color w:val="000000"/>
                <w:w w:val="100"/>
                <w:sz w:val="24"/>
                <w:szCs w:val="24"/>
                <w:lang w:eastAsia="zh-CN"/>
              </w:rPr>
              <w:t>“</w:t>
            </w:r>
            <w:r>
              <w:rPr>
                <w:bCs/>
                <w:snapToGrid w:val="0"/>
                <w:color w:val="000000"/>
                <w:w w:val="100"/>
                <w:sz w:val="24"/>
                <w:szCs w:val="24"/>
              </w:rPr>
              <w:t>安全第一，预防为主</w:t>
            </w:r>
            <w:r>
              <w:rPr>
                <w:rFonts w:hint="eastAsia"/>
                <w:bCs/>
                <w:snapToGrid w:val="0"/>
                <w:color w:val="000000"/>
                <w:w w:val="100"/>
                <w:sz w:val="24"/>
                <w:szCs w:val="24"/>
                <w:lang w:eastAsia="zh-CN"/>
              </w:rPr>
              <w:t>”</w:t>
            </w:r>
            <w:r>
              <w:rPr>
                <w:bCs/>
                <w:snapToGrid w:val="0"/>
                <w:color w:val="000000"/>
                <w:w w:val="100"/>
                <w:sz w:val="24"/>
                <w:szCs w:val="24"/>
              </w:rPr>
              <w:t>作为企业经营的基本原则；</w:t>
            </w:r>
          </w:p>
          <w:p>
            <w:pPr>
              <w:pStyle w:val="84"/>
              <w:snapToGrid w:val="0"/>
              <w:spacing w:line="500" w:lineRule="exact"/>
              <w:ind w:left="0" w:leftChars="0" w:firstLine="480" w:firstLineChars="200"/>
              <w:jc w:val="left"/>
              <w:rPr>
                <w:bCs/>
                <w:snapToGrid w:val="0"/>
                <w:color w:val="000000"/>
                <w:w w:val="100"/>
                <w:sz w:val="24"/>
                <w:szCs w:val="24"/>
              </w:rPr>
            </w:pPr>
            <w:r>
              <w:rPr>
                <w:bCs/>
                <w:snapToGrid w:val="0"/>
                <w:color w:val="000000"/>
                <w:w w:val="100"/>
                <w:sz w:val="24"/>
                <w:szCs w:val="24"/>
              </w:rPr>
              <w:t>2、必须进行广泛系统的培训，使所有操作人员熟悉自己的岗位，树立严谨规范的操作作风，并且在任何紧急状况下都能随时对工艺装置进行控制，并及时、独立、正确地实施相关应急措施。</w:t>
            </w:r>
          </w:p>
          <w:p>
            <w:pPr>
              <w:pStyle w:val="84"/>
              <w:snapToGrid w:val="0"/>
              <w:spacing w:line="500" w:lineRule="exact"/>
              <w:ind w:left="0" w:leftChars="0" w:firstLine="480" w:firstLineChars="200"/>
              <w:jc w:val="left"/>
              <w:rPr>
                <w:bCs/>
                <w:snapToGrid w:val="0"/>
                <w:color w:val="000000"/>
                <w:w w:val="100"/>
                <w:sz w:val="24"/>
                <w:szCs w:val="24"/>
              </w:rPr>
            </w:pPr>
            <w:r>
              <w:rPr>
                <w:bCs/>
                <w:snapToGrid w:val="0"/>
                <w:color w:val="000000"/>
                <w:w w:val="100"/>
                <w:sz w:val="24"/>
                <w:szCs w:val="24"/>
              </w:rPr>
              <w:t>3、设立安全环保部门，负责全厂的环保、安全管理，应由具有丰富经验的人才担当负责人，每个车间和主要装置设置专职或兼职安全员，兼职安全员原则上由工艺员担任。</w:t>
            </w:r>
          </w:p>
          <w:p>
            <w:pPr>
              <w:pStyle w:val="84"/>
              <w:snapToGrid w:val="0"/>
              <w:spacing w:line="500" w:lineRule="exact"/>
              <w:ind w:left="0" w:leftChars="0" w:firstLine="480" w:firstLineChars="200"/>
              <w:jc w:val="left"/>
              <w:rPr>
                <w:bCs/>
                <w:snapToGrid w:val="0"/>
                <w:color w:val="000000"/>
                <w:w w:val="100"/>
                <w:sz w:val="24"/>
                <w:szCs w:val="24"/>
              </w:rPr>
            </w:pPr>
            <w:r>
              <w:rPr>
                <w:bCs/>
                <w:snapToGrid w:val="0"/>
                <w:color w:val="000000"/>
                <w:w w:val="100"/>
                <w:sz w:val="24"/>
                <w:szCs w:val="24"/>
              </w:rPr>
              <w:t>4、全厂设立安全生产领导小组，由厂长亲自担任领导小组组长，形成领导负总责，全公司参与的管理模式。</w:t>
            </w:r>
          </w:p>
          <w:p>
            <w:pPr>
              <w:pStyle w:val="84"/>
              <w:snapToGrid w:val="0"/>
              <w:spacing w:line="500" w:lineRule="exact"/>
              <w:ind w:left="0" w:leftChars="0" w:firstLine="480" w:firstLineChars="200"/>
              <w:jc w:val="left"/>
              <w:rPr>
                <w:bCs/>
                <w:snapToGrid w:val="0"/>
                <w:color w:val="000000"/>
                <w:w w:val="100"/>
                <w:sz w:val="24"/>
                <w:szCs w:val="24"/>
              </w:rPr>
            </w:pPr>
            <w:r>
              <w:rPr>
                <w:bCs/>
                <w:snapToGrid w:val="0"/>
                <w:color w:val="000000"/>
                <w:w w:val="100"/>
                <w:sz w:val="24"/>
                <w:szCs w:val="24"/>
              </w:rPr>
              <w:t>5、建立完备的应急组织体系。建立风险应急领导小组，小组分为厂内和厂外两部分。厂内部分落实厂内应急防范措施，厂外部分负责上报当地政府、安全、消防、环保、卫生等相关部门。</w:t>
            </w:r>
          </w:p>
          <w:p>
            <w:pPr>
              <w:pStyle w:val="84"/>
              <w:snapToGrid w:val="0"/>
              <w:spacing w:line="500" w:lineRule="exact"/>
              <w:ind w:left="0" w:leftChars="0" w:firstLine="480" w:firstLineChars="200"/>
              <w:jc w:val="left"/>
              <w:rPr>
                <w:bCs/>
                <w:snapToGrid w:val="0"/>
                <w:color w:val="000000"/>
                <w:w w:val="100"/>
                <w:sz w:val="24"/>
                <w:szCs w:val="24"/>
              </w:rPr>
            </w:pPr>
            <w:r>
              <w:rPr>
                <w:bCs/>
                <w:snapToGrid w:val="0"/>
                <w:color w:val="000000"/>
                <w:w w:val="100"/>
                <w:sz w:val="24"/>
                <w:szCs w:val="24"/>
              </w:rPr>
              <w:t>6、按《劳动法》有关规定，为职工提供劳动安全条件和劳动防护用品，厂区医院必须配备足够的医疗药品和其他救助品，便于事故应急处置和救援。</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2）贮存过程风险防范</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①原料储存区要严格按有关规定的要求进行设计、施工，设立专用库区，原辅材料不混存，使其符合储存化学品的相关条件（如防晒、防潮、通风、防雷、防静电等）；建立健全安全规程及值勤制度，并设置明显的标识及警示牌，应配置合格的防毒器材、消防器材，并确保其处于完好状态。</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②危险废物仓库要严格按有关规定的要求进行设计、施工，设立专用库区，危险废物必须分类独立存放，固体液体要分开储存，仓库内地面全部需要硬底化，同时应设置导流沟防止液体废料外泄；储存危废的容器，应经有关检验部门定期检验合格后，才能使用，并设置明显的标识及警示牌；对储存的危废名称、数量进行严格登记；仓库外应配备沙包、抹布等堵漏物资。</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3）生产过程风险防范措施</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生产操作过程中，必须加强安全管理，提高事故防范措施。突发性污染事故，特别是有毒化学品的重大事故将对事故现场人员的生命和健康造成严重危害，此外还将造成直接或间接的巨大经济损失，以及造成社会不安定因素，同时对生态环境也会造成严重的破坏。因此，做好突发性环境污染事故的预防，提高对突发性污染事故的应急处理和处置能力，对企业具有重要的意义。</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发生突发性污染事故的诱发因素很多，其中被认为重要的因素有以下几个方面：①设备质量差，或因无判废标准（或因不执行判废标准）而过度超时、超负荷运转；②管理或指挥失误；</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③违章操作。</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因此，对突发性污染事故的防治对策，应从以上几点严格控制和管理，加强事故措施和事故应急处理的技能，懂得紧急救援的知识。</w:t>
            </w:r>
            <w:r>
              <w:rPr>
                <w:rFonts w:hint="eastAsia"/>
                <w:bCs/>
                <w:snapToGrid w:val="0"/>
                <w:w w:val="100"/>
                <w:sz w:val="24"/>
                <w:szCs w:val="24"/>
                <w:lang w:eastAsia="zh-CN"/>
              </w:rPr>
              <w:t>“</w:t>
            </w:r>
            <w:r>
              <w:rPr>
                <w:bCs/>
                <w:snapToGrid w:val="0"/>
                <w:w w:val="100"/>
                <w:sz w:val="24"/>
                <w:szCs w:val="24"/>
              </w:rPr>
              <w:t>预防为主，安全第一</w:t>
            </w:r>
            <w:r>
              <w:rPr>
                <w:rFonts w:hint="eastAsia"/>
                <w:bCs/>
                <w:snapToGrid w:val="0"/>
                <w:w w:val="100"/>
                <w:sz w:val="24"/>
                <w:szCs w:val="24"/>
                <w:lang w:eastAsia="zh-CN"/>
              </w:rPr>
              <w:t>”</w:t>
            </w:r>
            <w:r>
              <w:rPr>
                <w:bCs/>
                <w:snapToGrid w:val="0"/>
                <w:w w:val="100"/>
                <w:sz w:val="24"/>
                <w:szCs w:val="24"/>
              </w:rPr>
              <w:t>是减少事故发生、降低污染事故损害的主要保障。建议</w:t>
            </w:r>
            <w:r>
              <w:rPr>
                <w:rFonts w:hint="eastAsia"/>
                <w:bCs/>
                <w:snapToGrid w:val="0"/>
                <w:w w:val="100"/>
                <w:sz w:val="24"/>
                <w:szCs w:val="24"/>
                <w:lang w:eastAsia="zh-CN"/>
              </w:rPr>
              <w:t>做好</w:t>
            </w:r>
            <w:r>
              <w:rPr>
                <w:bCs/>
                <w:snapToGrid w:val="0"/>
                <w:w w:val="100"/>
                <w:sz w:val="24"/>
                <w:szCs w:val="24"/>
              </w:rPr>
              <w:t>以下几个方面的工作：</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（1）提高认识、完善制度、严格检查</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企业领导应该提高对突发性事故的警觉和认识，</w:t>
            </w:r>
            <w:r>
              <w:rPr>
                <w:rFonts w:hint="eastAsia"/>
                <w:bCs/>
                <w:snapToGrid w:val="0"/>
                <w:w w:val="100"/>
                <w:sz w:val="24"/>
                <w:szCs w:val="24"/>
                <w:lang w:eastAsia="zh-CN"/>
              </w:rPr>
              <w:t>做到</w:t>
            </w:r>
            <w:r>
              <w:rPr>
                <w:bCs/>
                <w:snapToGrid w:val="0"/>
                <w:w w:val="100"/>
                <w:sz w:val="24"/>
                <w:szCs w:val="24"/>
              </w:rPr>
              <w:t>警钟长鸣。建议企业建立安全与环保科，并由企业领导直接领导，全权负责。主要负责、检查和监督全厂的安全生产和环保设施的正常运转情况。对安全和环保应建立严格的防范措施，制定严格的管理规章制度，列出潜在危险的过程、设备等清单，严格执行设备检验和报废制度。</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（2）加强技术培训，</w:t>
            </w:r>
            <w:r>
              <w:rPr>
                <w:rFonts w:hint="eastAsia"/>
                <w:bCs/>
                <w:snapToGrid w:val="0"/>
                <w:w w:val="100"/>
                <w:sz w:val="24"/>
                <w:szCs w:val="24"/>
                <w:lang w:eastAsia="zh-CN"/>
              </w:rPr>
              <w:t>增强</w:t>
            </w:r>
            <w:r>
              <w:rPr>
                <w:bCs/>
                <w:snapToGrid w:val="0"/>
                <w:w w:val="100"/>
                <w:sz w:val="24"/>
                <w:szCs w:val="24"/>
              </w:rPr>
              <w:t>职工安全意识</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职工安全生产的经验不足，一定程度上会增加事故发生的概率，因此企业对生产操作工人必须进行上岗前专业技术培训，严格管理，</w:t>
            </w:r>
            <w:r>
              <w:rPr>
                <w:rFonts w:hint="eastAsia"/>
                <w:bCs/>
                <w:snapToGrid w:val="0"/>
                <w:w w:val="100"/>
                <w:sz w:val="24"/>
                <w:szCs w:val="24"/>
                <w:lang w:eastAsia="zh-CN"/>
              </w:rPr>
              <w:t>增强</w:t>
            </w:r>
            <w:r>
              <w:rPr>
                <w:bCs/>
                <w:snapToGrid w:val="0"/>
                <w:w w:val="100"/>
                <w:sz w:val="24"/>
                <w:szCs w:val="24"/>
              </w:rPr>
              <w:t>职工安全环保意识。</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（3）提高事故应急处理的能力</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企业对具有高危害设备设置保险措施，对危险车间可设置消防装置等必备设施，并辅以适当的通讯工具，定期进行安全环保宣传教育以及紧急事故模拟演习，提高事故应变能力；在冷凝器失效的情况，应停止生产。</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4）末端处置过程风险防范</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（1）企业环保设施主要是废气治理设施和废水处理设施，应由专人负责相应环保设施正常运行。</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（2）建立污水处理设施和废气处理设施运行管理制度和操作责任制度，照章办事，严格管理，杜绝各种责任事故发生。</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（3）建立安全操作规程，在平时严格按规程办事，定期对环保设施管理人员的理论知识和操作技能进行培训和检查。</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（4）废气、废水等环保措施必须确保日常运行，如发现人为原因不开启废水、废气等环保治理设施，责任人应受行政和经济处罚，并承担事故排放责任。若环保治理措施因故不能运行，则生产必须停止。</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（5）为确保处理效率，在车间设备检修期间，环保处理系统也应同时进行检修，日常应有专人负责进行维护。</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（6）制定严格的废水排放制度，确保清污分流，残液、残渣禁止冲入废水处理系统或直排。</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5）水环境风险防范措施</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厂区雨污水管道设置截断阀，发生火灾爆炸事故时及时切断雨污水排口截断阀。</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事故废水截流措施：企业应配置应急水泵，事故状态下，将雨水排口阀门关闭，通过应急水泵将事故废水输送至事故应急池，事故废水委托有资质的单位处置达标后方可接入污水管网，不得直接排入区域的污水管网和雨水管网。应急池和导排系统满足防腐防渗抗震的要求，日常保持事故应急池空置，不作为它用</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应急事故池的设置：应急事故废水池容量=应急事故废水最大计算量-装置或罐区围堤内净空容量-事故废水管道容量。可用下式表示</w:t>
            </w:r>
          </w:p>
          <w:p>
            <w:pPr>
              <w:widowControl/>
              <w:adjustRightInd w:val="0"/>
              <w:snapToGrid w:val="0"/>
              <w:spacing w:line="500" w:lineRule="exact"/>
              <w:ind w:firstLine="480" w:firstLineChars="200"/>
              <w:jc w:val="center"/>
              <w:rPr>
                <w:bCs/>
                <w:snapToGrid w:val="0"/>
                <w:sz w:val="24"/>
                <w:lang w:bidi="zh-CN"/>
              </w:rPr>
            </w:pPr>
            <w:r>
              <w:rPr>
                <w:bCs/>
                <w:snapToGrid w:val="0"/>
                <w:sz w:val="24"/>
                <w:lang w:bidi="zh-CN"/>
              </w:rPr>
              <w:t>V事故池=（V1+V2-V3）max+V4+V5</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式中：（V1+V2-V3）max为应急事故废水最大计算量（m</w:t>
            </w:r>
            <w:r>
              <w:rPr>
                <w:bCs/>
                <w:snapToGrid w:val="0"/>
                <w:sz w:val="24"/>
                <w:vertAlign w:val="superscript"/>
                <w:lang w:bidi="zh-CN"/>
              </w:rPr>
              <w:t>3</w:t>
            </w:r>
            <w:r>
              <w:rPr>
                <w:bCs/>
                <w:snapToGrid w:val="0"/>
                <w:sz w:val="24"/>
                <w:lang w:bidi="zh-CN"/>
              </w:rPr>
              <w:t>）；</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V1——最大一个容量的设备（装置）或贮罐的物料贮存量（m</w:t>
            </w:r>
            <w:r>
              <w:rPr>
                <w:bCs/>
                <w:snapToGrid w:val="0"/>
                <w:sz w:val="24"/>
                <w:vertAlign w:val="superscript"/>
                <w:lang w:bidi="zh-CN"/>
              </w:rPr>
              <w:t>3</w:t>
            </w:r>
            <w:r>
              <w:rPr>
                <w:bCs/>
                <w:snapToGrid w:val="0"/>
                <w:sz w:val="24"/>
                <w:lang w:bidi="zh-CN"/>
              </w:rPr>
              <w:t>）。（V1</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取脱模剂桶200L，约0.2m</w:t>
            </w:r>
            <w:r>
              <w:rPr>
                <w:bCs/>
                <w:snapToGrid w:val="0"/>
                <w:sz w:val="24"/>
                <w:vertAlign w:val="superscript"/>
                <w:lang w:bidi="zh-CN"/>
              </w:rPr>
              <w:t>3</w:t>
            </w:r>
            <w:r>
              <w:rPr>
                <w:bCs/>
                <w:snapToGrid w:val="0"/>
                <w:sz w:val="24"/>
                <w:lang w:bidi="zh-CN"/>
              </w:rPr>
              <w:t>）</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V2——发生事故的储罐或装置的消防水量，m</w:t>
            </w:r>
            <w:r>
              <w:rPr>
                <w:bCs/>
                <w:snapToGrid w:val="0"/>
                <w:sz w:val="24"/>
                <w:vertAlign w:val="superscript"/>
                <w:lang w:bidi="zh-CN"/>
              </w:rPr>
              <w:t>3</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V3——发生事故时可以转输到其他储存或处理设施的物料量，m</w:t>
            </w:r>
            <w:r>
              <w:rPr>
                <w:bCs/>
                <w:snapToGrid w:val="0"/>
                <w:sz w:val="24"/>
                <w:vertAlign w:val="superscript"/>
                <w:lang w:bidi="zh-CN"/>
              </w:rPr>
              <w:t>3</w:t>
            </w:r>
            <w:r>
              <w:rPr>
                <w:bCs/>
                <w:snapToGrid w:val="0"/>
                <w:sz w:val="24"/>
                <w:lang w:bidi="zh-CN"/>
              </w:rPr>
              <w:t>；V3=0</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V4——发生事故时仍必须进入该收集系统的生产废水量，m</w:t>
            </w:r>
            <w:r>
              <w:rPr>
                <w:bCs/>
                <w:snapToGrid w:val="0"/>
                <w:sz w:val="24"/>
                <w:vertAlign w:val="superscript"/>
                <w:lang w:bidi="zh-CN"/>
              </w:rPr>
              <w:t>3</w:t>
            </w:r>
            <w:r>
              <w:rPr>
                <w:bCs/>
                <w:snapToGrid w:val="0"/>
                <w:sz w:val="24"/>
                <w:lang w:bidi="zh-CN"/>
              </w:rPr>
              <w:t>；V4=0</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V5——发生事故时可能进入该收集系统的降雨量，m</w:t>
            </w:r>
            <w:r>
              <w:rPr>
                <w:bCs/>
                <w:snapToGrid w:val="0"/>
                <w:sz w:val="24"/>
                <w:vertAlign w:val="superscript"/>
                <w:lang w:bidi="zh-CN"/>
              </w:rPr>
              <w:t>3</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V5=10qF</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Q—降雨强度，mm；按平均日降雨量；</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q=qa/n</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qa—年平均降雨量，mm；1048.1mm</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n—年平均降雨日数，90天</w:t>
            </w:r>
          </w:p>
          <w:p>
            <w:pPr>
              <w:widowControl/>
              <w:adjustRightInd w:val="0"/>
              <w:snapToGrid w:val="0"/>
              <w:spacing w:line="500" w:lineRule="exact"/>
              <w:ind w:firstLine="480" w:firstLineChars="200"/>
              <w:jc w:val="left"/>
              <w:rPr>
                <w:bCs/>
                <w:snapToGrid w:val="0"/>
                <w:sz w:val="24"/>
                <w:lang w:bidi="zh-CN"/>
              </w:rPr>
            </w:pPr>
            <w:r>
              <w:rPr>
                <w:bCs/>
                <w:snapToGrid w:val="0"/>
                <w:sz w:val="24"/>
                <w:lang w:bidi="zh-CN"/>
              </w:rPr>
              <w:t>F—必须进入事故废水收集系统的雨水汇水面积，面积约为1ha；</w:t>
            </w:r>
          </w:p>
          <w:p>
            <w:pPr>
              <w:adjustRightInd w:val="0"/>
              <w:snapToGrid w:val="0"/>
              <w:spacing w:line="500" w:lineRule="exact"/>
              <w:ind w:firstLine="480" w:firstLineChars="200"/>
              <w:rPr>
                <w:bCs/>
                <w:snapToGrid w:val="0"/>
                <w:sz w:val="24"/>
                <w:lang w:bidi="zh-CN"/>
              </w:rPr>
            </w:pPr>
            <w:r>
              <w:rPr>
                <w:bCs/>
                <w:snapToGrid w:val="0"/>
                <w:sz w:val="24"/>
                <w:lang w:bidi="zh-CN"/>
              </w:rPr>
              <w:t>根据《消防给水及消防栓系统技术规范》（GB50974-2014），消防水用量取40L/S，消防救火时间按</w:t>
            </w:r>
            <w:r>
              <w:rPr>
                <w:rFonts w:hint="eastAsia"/>
                <w:bCs/>
                <w:snapToGrid w:val="0"/>
                <w:sz w:val="24"/>
                <w:lang w:val="en-US" w:bidi="zh-CN"/>
              </w:rPr>
              <w:t>1</w:t>
            </w:r>
            <w:r>
              <w:rPr>
                <w:bCs/>
                <w:snapToGrid w:val="0"/>
                <w:sz w:val="24"/>
                <w:lang w:bidi="zh-CN"/>
              </w:rPr>
              <w:t>h考虑，则产生的消防水量V2为</w:t>
            </w:r>
            <w:r>
              <w:rPr>
                <w:rFonts w:hint="eastAsia"/>
                <w:bCs/>
                <w:snapToGrid w:val="0"/>
                <w:sz w:val="24"/>
                <w:lang w:val="en-US" w:bidi="zh-CN"/>
              </w:rPr>
              <w:t>144</w:t>
            </w:r>
            <w:r>
              <w:rPr>
                <w:bCs/>
                <w:snapToGrid w:val="0"/>
                <w:sz w:val="24"/>
                <w:lang w:bidi="zh-CN"/>
              </w:rPr>
              <w:t>m</w:t>
            </w:r>
            <w:r>
              <w:rPr>
                <w:bCs/>
                <w:snapToGrid w:val="0"/>
                <w:sz w:val="24"/>
                <w:vertAlign w:val="superscript"/>
                <w:lang w:bidi="zh-CN"/>
              </w:rPr>
              <w:t>3</w:t>
            </w:r>
            <w:r>
              <w:rPr>
                <w:bCs/>
                <w:snapToGrid w:val="0"/>
                <w:sz w:val="24"/>
                <w:lang w:bidi="zh-CN"/>
              </w:rPr>
              <w:t>。</w:t>
            </w:r>
          </w:p>
          <w:p>
            <w:pPr>
              <w:adjustRightInd w:val="0"/>
              <w:snapToGrid w:val="0"/>
              <w:spacing w:line="500" w:lineRule="exact"/>
              <w:ind w:firstLine="480" w:firstLineChars="200"/>
              <w:rPr>
                <w:bCs/>
                <w:snapToGrid w:val="0"/>
                <w:sz w:val="24"/>
                <w:lang w:bidi="zh-CN"/>
              </w:rPr>
            </w:pPr>
            <w:r>
              <w:rPr>
                <w:bCs/>
                <w:snapToGrid w:val="0"/>
                <w:sz w:val="24"/>
                <w:lang w:bidi="zh-CN"/>
              </w:rPr>
              <w:t>V3取0，V4亦取0，由于公司无露天生产装置，故不考虑初期雨水量，V5取0。经计算公司需要设置的事故应急池容积为：</w:t>
            </w:r>
          </w:p>
          <w:p>
            <w:pPr>
              <w:adjustRightInd w:val="0"/>
              <w:snapToGrid w:val="0"/>
              <w:spacing w:line="500" w:lineRule="exact"/>
              <w:ind w:firstLine="480" w:firstLineChars="200"/>
              <w:rPr>
                <w:bCs/>
                <w:snapToGrid w:val="0"/>
                <w:sz w:val="24"/>
                <w:highlight w:val="none"/>
                <w:lang w:bidi="zh-CN"/>
              </w:rPr>
            </w:pPr>
            <w:r>
              <w:rPr>
                <w:bCs/>
                <w:snapToGrid w:val="0"/>
                <w:sz w:val="24"/>
                <w:highlight w:val="none"/>
                <w:lang w:bidi="zh-CN"/>
              </w:rPr>
              <w:t>V事故池=</w:t>
            </w:r>
            <w:r>
              <w:rPr>
                <w:rFonts w:hint="eastAsia"/>
                <w:bCs/>
                <w:snapToGrid w:val="0"/>
                <w:sz w:val="24"/>
                <w:highlight w:val="none"/>
                <w:lang w:val="en-US" w:bidi="zh-CN"/>
              </w:rPr>
              <w:t>144.2</w:t>
            </w:r>
            <w:r>
              <w:rPr>
                <w:bCs/>
                <w:snapToGrid w:val="0"/>
                <w:sz w:val="24"/>
                <w:highlight w:val="none"/>
                <w:lang w:bidi="zh-CN"/>
              </w:rPr>
              <w:t>m</w:t>
            </w:r>
            <w:r>
              <w:rPr>
                <w:bCs/>
                <w:snapToGrid w:val="0"/>
                <w:sz w:val="24"/>
                <w:highlight w:val="none"/>
                <w:vertAlign w:val="superscript"/>
                <w:lang w:bidi="zh-CN"/>
              </w:rPr>
              <w:t>3</w:t>
            </w:r>
          </w:p>
          <w:p>
            <w:pPr>
              <w:widowControl/>
              <w:adjustRightInd w:val="0"/>
              <w:snapToGrid w:val="0"/>
              <w:spacing w:line="500" w:lineRule="exact"/>
              <w:ind w:firstLine="480" w:firstLineChars="200"/>
              <w:jc w:val="left"/>
              <w:rPr>
                <w:bCs/>
                <w:snapToGrid w:val="0"/>
                <w:sz w:val="24"/>
                <w:highlight w:val="none"/>
                <w:lang w:bidi="zh-CN"/>
              </w:rPr>
            </w:pPr>
            <w:r>
              <w:rPr>
                <w:bCs/>
                <w:snapToGrid w:val="0"/>
                <w:sz w:val="24"/>
                <w:highlight w:val="none"/>
                <w:lang w:bidi="zh-CN"/>
              </w:rPr>
              <w:t>因此，建议建设项目按照技术规范建立一座约</w:t>
            </w:r>
            <w:r>
              <w:rPr>
                <w:rFonts w:hint="eastAsia"/>
                <w:bCs/>
                <w:snapToGrid w:val="0"/>
                <w:sz w:val="24"/>
                <w:highlight w:val="none"/>
                <w:lang w:val="en-US" w:bidi="zh-CN"/>
              </w:rPr>
              <w:t>150</w:t>
            </w:r>
            <w:r>
              <w:rPr>
                <w:bCs/>
                <w:snapToGrid w:val="0"/>
                <w:sz w:val="24"/>
                <w:highlight w:val="none"/>
                <w:lang w:bidi="zh-CN"/>
              </w:rPr>
              <w:t>m</w:t>
            </w:r>
            <w:r>
              <w:rPr>
                <w:bCs/>
                <w:snapToGrid w:val="0"/>
                <w:sz w:val="24"/>
                <w:highlight w:val="none"/>
                <w:vertAlign w:val="superscript"/>
                <w:lang w:bidi="zh-CN"/>
              </w:rPr>
              <w:t>3</w:t>
            </w:r>
            <w:r>
              <w:rPr>
                <w:bCs/>
                <w:snapToGrid w:val="0"/>
                <w:sz w:val="24"/>
                <w:highlight w:val="none"/>
                <w:lang w:bidi="zh-CN"/>
              </w:rPr>
              <w:t>的应急事故池。</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万一发生</w:t>
            </w:r>
            <w:r>
              <w:rPr>
                <w:rFonts w:hint="eastAsia"/>
                <w:bCs/>
                <w:snapToGrid w:val="0"/>
                <w:w w:val="100"/>
                <w:sz w:val="24"/>
                <w:szCs w:val="24"/>
                <w:lang w:eastAsia="zh-CN"/>
              </w:rPr>
              <w:t>泄漏</w:t>
            </w:r>
            <w:r>
              <w:rPr>
                <w:bCs/>
                <w:snapToGrid w:val="0"/>
                <w:w w:val="100"/>
                <w:sz w:val="24"/>
                <w:szCs w:val="24"/>
              </w:rPr>
              <w:t>、火灾、爆炸等事故，泄漏物料及消防废水进入周边水体，将对周边水体水质造成影响。为防止事故废水排放导致污染物进入地表水环境，消防水及其携带的物料通过厂区污水管线至污水池储存，之后委托有资质单位处置，不直接外排周围水体。事故处理完毕后，重点清洗储存事故污水的污水池，清洗废水委托有资质单位处置。</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6）生态环境</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本项目不涉及生态环境。</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7）电磁辐射</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本项目不涉及电磁辐射</w:t>
            </w:r>
          </w:p>
          <w:p>
            <w:pPr>
              <w:pStyle w:val="84"/>
              <w:snapToGrid w:val="0"/>
              <w:spacing w:line="500" w:lineRule="exact"/>
              <w:ind w:left="0" w:leftChars="0" w:firstLine="480" w:firstLineChars="200"/>
              <w:jc w:val="left"/>
              <w:rPr>
                <w:bCs/>
                <w:snapToGrid w:val="0"/>
                <w:w w:val="100"/>
                <w:sz w:val="24"/>
                <w:szCs w:val="24"/>
              </w:rPr>
            </w:pPr>
            <w:r>
              <w:rPr>
                <w:bCs/>
                <w:snapToGrid w:val="0"/>
                <w:w w:val="100"/>
                <w:sz w:val="24"/>
                <w:szCs w:val="24"/>
              </w:rPr>
              <w:t>8）地下水、土壤环境</w:t>
            </w:r>
          </w:p>
          <w:p>
            <w:pPr>
              <w:adjustRightInd w:val="0"/>
              <w:snapToGrid w:val="0"/>
              <w:spacing w:line="500" w:lineRule="exact"/>
              <w:ind w:firstLine="480" w:firstLineChars="200"/>
              <w:rPr>
                <w:bCs/>
                <w:snapToGrid w:val="0"/>
                <w:sz w:val="24"/>
              </w:rPr>
            </w:pPr>
            <w:r>
              <w:rPr>
                <w:bCs/>
                <w:snapToGrid w:val="0"/>
                <w:sz w:val="24"/>
              </w:rPr>
              <w:t>根据《建设项目环境影响报告表编制技术指南》（污染影响类）的要求，不开展环境质量现状调查。</w:t>
            </w:r>
          </w:p>
          <w:p>
            <w:pPr>
              <w:pStyle w:val="2"/>
              <w:rPr>
                <w:bCs/>
                <w:snapToGrid w:val="0"/>
                <w:sz w:val="24"/>
              </w:rPr>
            </w:pPr>
          </w:p>
          <w:p>
            <w:pPr>
              <w:pStyle w:val="2"/>
              <w:rPr>
                <w:bCs/>
                <w:snapToGrid w:val="0"/>
                <w:sz w:val="24"/>
              </w:rPr>
            </w:pPr>
          </w:p>
          <w:p>
            <w:pPr>
              <w:pStyle w:val="2"/>
              <w:rPr>
                <w:bCs/>
                <w:snapToGrid w:val="0"/>
                <w:sz w:val="24"/>
              </w:rPr>
            </w:pPr>
          </w:p>
          <w:p>
            <w:pPr>
              <w:pStyle w:val="2"/>
              <w:rPr>
                <w:bCs/>
                <w:snapToGrid w:val="0"/>
                <w:sz w:val="24"/>
              </w:rPr>
            </w:pPr>
          </w:p>
          <w:p>
            <w:pPr>
              <w:pStyle w:val="2"/>
              <w:rPr>
                <w:bCs/>
                <w:snapToGrid w:val="0"/>
                <w:sz w:val="24"/>
              </w:rPr>
            </w:pPr>
          </w:p>
          <w:p>
            <w:pPr>
              <w:pStyle w:val="2"/>
              <w:rPr>
                <w:bCs/>
                <w:snapToGrid w:val="0"/>
                <w:sz w:val="24"/>
              </w:rPr>
            </w:pPr>
          </w:p>
          <w:p>
            <w:pPr>
              <w:adjustRightInd w:val="0"/>
              <w:snapToGrid w:val="0"/>
              <w:spacing w:line="500" w:lineRule="exact"/>
              <w:rPr>
                <w:b/>
                <w:bCs/>
                <w:sz w:val="24"/>
              </w:rPr>
            </w:pPr>
          </w:p>
        </w:tc>
      </w:tr>
    </w:tbl>
    <w:p>
      <w:pPr>
        <w:adjustRightInd w:val="0"/>
        <w:snapToGrid w:val="0"/>
        <w:spacing w:line="360" w:lineRule="auto"/>
        <w:rPr>
          <w:rFonts w:ascii="宋体" w:cs="宋体"/>
          <w:b/>
          <w:kern w:val="0"/>
          <w:sz w:val="28"/>
          <w:szCs w:val="28"/>
        </w:rPr>
        <w:sectPr>
          <w:pgSz w:w="11907" w:h="16840"/>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29"/>
        <w:adjustRightInd w:val="0"/>
        <w:snapToGrid w:val="0"/>
        <w:spacing w:before="0" w:beforeAutospacing="0" w:after="0" w:afterAutospacing="0"/>
        <w:outlineLvl w:val="0"/>
        <w:rPr>
          <w:rFonts w:ascii="黑体" w:hAnsi="黑体" w:eastAsia="黑体"/>
          <w:snapToGrid w:val="0"/>
          <w:sz w:val="30"/>
          <w:szCs w:val="30"/>
        </w:rPr>
      </w:pPr>
      <w:r>
        <w:rPr>
          <w:rFonts w:hint="eastAsia" w:ascii="黑体" w:hAnsi="黑体" w:eastAsia="黑体"/>
          <w:snapToGrid w:val="0"/>
          <w:sz w:val="30"/>
          <w:szCs w:val="30"/>
        </w:rPr>
        <w:t>五、</w:t>
      </w:r>
      <w:bookmarkStart w:id="2" w:name="_Hlk54167917"/>
      <w:r>
        <w:rPr>
          <w:rFonts w:hint="eastAsia" w:ascii="黑体" w:hAnsi="黑体" w:eastAsia="黑体"/>
          <w:snapToGrid w:val="0"/>
          <w:sz w:val="30"/>
          <w:szCs w:val="30"/>
        </w:rPr>
        <w:t>环境保护措施监督检查清单</w:t>
      </w:r>
      <w:bookmarkEnd w:id="2"/>
    </w:p>
    <w:tbl>
      <w:tblPr>
        <w:tblStyle w:val="33"/>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831"/>
        <w:gridCol w:w="1807"/>
        <w:gridCol w:w="1736"/>
        <w:gridCol w:w="1689"/>
        <w:gridCol w:w="199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tcBorders>
              <w:tl2br w:val="single" w:color="auto" w:sz="4" w:space="0"/>
            </w:tcBorders>
          </w:tcPr>
          <w:p>
            <w:pPr>
              <w:adjustRightInd w:val="0"/>
              <w:snapToGrid w:val="0"/>
              <w:ind w:firstLine="840"/>
              <w:rPr>
                <w:rFonts w:ascii="宋体" w:hAnsi="宋体" w:cs="宋体"/>
                <w:b/>
                <w:bCs/>
                <w:sz w:val="24"/>
              </w:rPr>
            </w:pPr>
            <w:r>
              <w:rPr>
                <w:rFonts w:hint="eastAsia" w:ascii="宋体" w:hAnsi="宋体" w:cs="宋体"/>
                <w:b/>
                <w:bCs/>
                <w:sz w:val="24"/>
              </w:rPr>
              <w:t>内容</w:t>
            </w:r>
          </w:p>
          <w:p>
            <w:pPr>
              <w:adjustRightInd w:val="0"/>
              <w:snapToGrid w:val="0"/>
              <w:rPr>
                <w:rFonts w:ascii="宋体" w:hAnsi="宋体" w:cs="宋体"/>
                <w:b/>
                <w:bCs/>
                <w:sz w:val="24"/>
              </w:rPr>
            </w:pPr>
            <w:r>
              <w:rPr>
                <w:rFonts w:hint="eastAsia" w:ascii="宋体" w:hAnsi="宋体" w:cs="宋体"/>
                <w:b/>
                <w:bCs/>
                <w:sz w:val="24"/>
              </w:rPr>
              <w:t>要素</w:t>
            </w:r>
          </w:p>
        </w:tc>
        <w:tc>
          <w:tcPr>
            <w:tcW w:w="1807" w:type="dxa"/>
            <w:vAlign w:val="center"/>
          </w:tcPr>
          <w:p>
            <w:pPr>
              <w:adjustRightInd w:val="0"/>
              <w:snapToGrid w:val="0"/>
              <w:jc w:val="center"/>
              <w:rPr>
                <w:rFonts w:ascii="宋体" w:hAnsi="宋体" w:cs="宋体"/>
                <w:b/>
                <w:bCs/>
                <w:sz w:val="24"/>
              </w:rPr>
            </w:pPr>
            <w:r>
              <w:rPr>
                <w:rFonts w:hint="eastAsia" w:ascii="宋体" w:hAnsi="宋体" w:cs="宋体"/>
                <w:b/>
                <w:bCs/>
                <w:sz w:val="24"/>
              </w:rPr>
              <w:t>排放口</w:t>
            </w:r>
            <w:r>
              <w:rPr>
                <w:rFonts w:hint="eastAsia" w:ascii="宋体" w:hAnsi="宋体" w:cs="宋体"/>
                <w:b/>
                <w:bCs/>
                <w:sz w:val="24"/>
                <w:lang w:eastAsia="zh-CN"/>
              </w:rPr>
              <w:t>（</w:t>
            </w:r>
            <w:r>
              <w:rPr>
                <w:rFonts w:hint="eastAsia" w:ascii="宋体" w:hAnsi="宋体" w:cs="宋体"/>
                <w:b/>
                <w:bCs/>
                <w:sz w:val="24"/>
              </w:rPr>
              <w:t>编号、</w:t>
            </w:r>
          </w:p>
          <w:p>
            <w:pPr>
              <w:adjustRightInd w:val="0"/>
              <w:snapToGrid w:val="0"/>
              <w:jc w:val="center"/>
              <w:rPr>
                <w:rFonts w:ascii="宋体" w:hAnsi="宋体" w:cs="宋体"/>
                <w:b/>
                <w:bCs/>
                <w:sz w:val="24"/>
              </w:rPr>
            </w:pPr>
            <w:r>
              <w:rPr>
                <w:rFonts w:hint="eastAsia" w:ascii="宋体" w:hAnsi="宋体" w:cs="宋体"/>
                <w:b/>
                <w:bCs/>
                <w:sz w:val="24"/>
              </w:rPr>
              <w:t>名称</w:t>
            </w:r>
            <w:r>
              <w:rPr>
                <w:rFonts w:hint="eastAsia" w:ascii="宋体" w:hAnsi="宋体" w:cs="宋体"/>
                <w:b/>
                <w:bCs/>
                <w:sz w:val="24"/>
                <w:lang w:eastAsia="zh-CN"/>
              </w:rPr>
              <w:t>）</w:t>
            </w:r>
            <w:r>
              <w:rPr>
                <w:rFonts w:hint="eastAsia" w:ascii="宋体" w:hAnsi="宋体" w:cs="宋体"/>
                <w:b/>
                <w:bCs/>
                <w:sz w:val="24"/>
              </w:rPr>
              <w:t>/污染源</w:t>
            </w:r>
          </w:p>
        </w:tc>
        <w:tc>
          <w:tcPr>
            <w:tcW w:w="1736" w:type="dxa"/>
            <w:vAlign w:val="center"/>
          </w:tcPr>
          <w:p>
            <w:pPr>
              <w:adjustRightInd w:val="0"/>
              <w:snapToGrid w:val="0"/>
              <w:jc w:val="center"/>
              <w:rPr>
                <w:rFonts w:ascii="宋体" w:hAnsi="宋体" w:cs="宋体"/>
                <w:b/>
                <w:bCs/>
                <w:sz w:val="24"/>
              </w:rPr>
            </w:pPr>
            <w:r>
              <w:rPr>
                <w:rFonts w:hint="eastAsia" w:ascii="宋体" w:hAnsi="宋体" w:cs="宋体"/>
                <w:b/>
                <w:bCs/>
                <w:sz w:val="24"/>
              </w:rPr>
              <w:t>污染物项目</w:t>
            </w:r>
          </w:p>
        </w:tc>
        <w:tc>
          <w:tcPr>
            <w:tcW w:w="1689" w:type="dxa"/>
            <w:vAlign w:val="center"/>
          </w:tcPr>
          <w:p>
            <w:pPr>
              <w:adjustRightInd w:val="0"/>
              <w:snapToGrid w:val="0"/>
              <w:jc w:val="center"/>
              <w:rPr>
                <w:rFonts w:ascii="宋体" w:hAnsi="宋体" w:cs="宋体"/>
                <w:b/>
                <w:bCs/>
                <w:sz w:val="24"/>
              </w:rPr>
            </w:pPr>
            <w:r>
              <w:rPr>
                <w:rFonts w:hint="eastAsia" w:ascii="宋体" w:hAnsi="宋体" w:cs="宋体"/>
                <w:b/>
                <w:bCs/>
                <w:sz w:val="24"/>
              </w:rPr>
              <w:t>环境保护措施</w:t>
            </w:r>
          </w:p>
        </w:tc>
        <w:tc>
          <w:tcPr>
            <w:tcW w:w="1997" w:type="dxa"/>
            <w:vAlign w:val="center"/>
          </w:tcPr>
          <w:p>
            <w:pPr>
              <w:adjustRightInd w:val="0"/>
              <w:snapToGrid w:val="0"/>
              <w:jc w:val="center"/>
              <w:rPr>
                <w:rFonts w:ascii="宋体" w:hAnsi="宋体" w:cs="宋体"/>
                <w:b/>
                <w:bCs/>
                <w:sz w:val="24"/>
              </w:rPr>
            </w:pPr>
            <w:r>
              <w:rPr>
                <w:rFonts w:hint="eastAsia" w:ascii="宋体" w:hAnsi="宋体" w:cs="宋体"/>
                <w:b/>
                <w:bCs/>
                <w:sz w:val="24"/>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Merge w:val="restart"/>
            <w:vAlign w:val="center"/>
          </w:tcPr>
          <w:p>
            <w:pPr>
              <w:adjustRightInd w:val="0"/>
              <w:snapToGrid w:val="0"/>
              <w:jc w:val="center"/>
              <w:rPr>
                <w:rFonts w:ascii="宋体" w:hAnsi="宋体" w:cs="宋体"/>
                <w:sz w:val="24"/>
              </w:rPr>
            </w:pPr>
            <w:r>
              <w:rPr>
                <w:rFonts w:hint="eastAsia" w:ascii="宋体" w:hAnsi="宋体" w:cs="宋体"/>
                <w:sz w:val="24"/>
              </w:rPr>
              <w:t>大气环境</w:t>
            </w:r>
          </w:p>
        </w:tc>
        <w:tc>
          <w:tcPr>
            <w:tcW w:w="1807" w:type="dxa"/>
            <w:vAlign w:val="center"/>
          </w:tcPr>
          <w:p>
            <w:pPr>
              <w:adjustRightInd w:val="0"/>
              <w:snapToGrid w:val="0"/>
              <w:jc w:val="center"/>
              <w:rPr>
                <w:szCs w:val="21"/>
              </w:rPr>
            </w:pPr>
            <w:r>
              <w:rPr>
                <w:rFonts w:hint="eastAsia"/>
                <w:bCs/>
                <w:szCs w:val="21"/>
              </w:rPr>
              <w:t>DA</w:t>
            </w:r>
            <w:r>
              <w:rPr>
                <w:bCs/>
                <w:szCs w:val="21"/>
              </w:rPr>
              <w:t>001</w:t>
            </w:r>
            <w:r>
              <w:rPr>
                <w:rFonts w:hint="eastAsia"/>
                <w:szCs w:val="21"/>
              </w:rPr>
              <w:t>排气筒</w:t>
            </w:r>
          </w:p>
        </w:tc>
        <w:tc>
          <w:tcPr>
            <w:tcW w:w="1736" w:type="dxa"/>
            <w:vAlign w:val="center"/>
          </w:tcPr>
          <w:p>
            <w:pPr>
              <w:adjustRightInd w:val="0"/>
              <w:snapToGrid w:val="0"/>
              <w:jc w:val="center"/>
              <w:rPr>
                <w:szCs w:val="21"/>
              </w:rPr>
            </w:pPr>
            <w:r>
              <w:rPr>
                <w:rFonts w:hint="eastAsia"/>
                <w:szCs w:val="21"/>
              </w:rPr>
              <w:t>颗粒物</w:t>
            </w:r>
          </w:p>
        </w:tc>
        <w:tc>
          <w:tcPr>
            <w:tcW w:w="1689" w:type="dxa"/>
            <w:vAlign w:val="center"/>
          </w:tcPr>
          <w:p>
            <w:pPr>
              <w:adjustRightInd w:val="0"/>
              <w:snapToGrid w:val="0"/>
              <w:jc w:val="center"/>
              <w:rPr>
                <w:spacing w:val="-1"/>
                <w:szCs w:val="21"/>
              </w:rPr>
            </w:pPr>
            <w:r>
              <w:rPr>
                <w:rFonts w:hint="eastAsia"/>
                <w:szCs w:val="21"/>
              </w:rPr>
              <w:t>布袋除尘</w:t>
            </w:r>
          </w:p>
        </w:tc>
        <w:tc>
          <w:tcPr>
            <w:tcW w:w="1997" w:type="dxa"/>
            <w:vMerge w:val="restart"/>
            <w:vAlign w:val="center"/>
          </w:tcPr>
          <w:p>
            <w:pPr>
              <w:adjustRightInd w:val="0"/>
              <w:snapToGrid w:val="0"/>
              <w:jc w:val="center"/>
              <w:rPr>
                <w:szCs w:val="21"/>
              </w:rPr>
            </w:pPr>
            <w:r>
              <w:rPr>
                <w:rFonts w:hint="eastAsia"/>
                <w:kern w:val="0"/>
                <w:szCs w:val="21"/>
              </w:rPr>
              <w:t>江苏省</w:t>
            </w:r>
            <w:r>
              <w:rPr>
                <w:kern w:val="0"/>
                <w:szCs w:val="21"/>
              </w:rPr>
              <w:t>《大气污染物综合排放标准》</w:t>
            </w:r>
            <w:r>
              <w:rPr>
                <w:szCs w:val="21"/>
              </w:rPr>
              <w:t>（DB32/4041-2021）</w:t>
            </w:r>
            <w:r>
              <w:rPr>
                <w:rFonts w:hint="eastAsia"/>
                <w:szCs w:val="21"/>
              </w:rPr>
              <w:t>、</w:t>
            </w:r>
          </w:p>
          <w:p>
            <w:pPr>
              <w:adjustRightInd w:val="0"/>
              <w:snapToGrid w:val="0"/>
              <w:jc w:val="center"/>
              <w:rPr>
                <w:kern w:val="0"/>
                <w:szCs w:val="21"/>
              </w:rPr>
            </w:pPr>
            <w:r>
              <w:rPr>
                <w:rFonts w:hint="eastAsia"/>
                <w:kern w:val="0"/>
                <w:szCs w:val="21"/>
              </w:rPr>
              <w:t>《铸造工业大气污染物排放标准》（GB39726-2020）、《合成树脂工业</w:t>
            </w:r>
          </w:p>
          <w:p>
            <w:pPr>
              <w:adjustRightInd w:val="0"/>
              <w:snapToGrid w:val="0"/>
              <w:jc w:val="center"/>
              <w:rPr>
                <w:rFonts w:ascii="宋体" w:hAnsi="宋体" w:cs="宋体"/>
                <w:sz w:val="24"/>
              </w:rPr>
            </w:pPr>
            <w:r>
              <w:rPr>
                <w:rFonts w:hint="eastAsia"/>
                <w:kern w:val="0"/>
                <w:szCs w:val="21"/>
              </w:rPr>
              <w:t>污染物排放标准》（GB31572-2015）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Merge w:val="continue"/>
            <w:vAlign w:val="center"/>
          </w:tcPr>
          <w:p>
            <w:pPr>
              <w:adjustRightInd w:val="0"/>
              <w:snapToGrid w:val="0"/>
              <w:jc w:val="center"/>
              <w:rPr>
                <w:rFonts w:ascii="宋体" w:hAnsi="宋体" w:cs="宋体"/>
                <w:sz w:val="24"/>
              </w:rPr>
            </w:pPr>
          </w:p>
        </w:tc>
        <w:tc>
          <w:tcPr>
            <w:tcW w:w="1807" w:type="dxa"/>
            <w:vAlign w:val="center"/>
          </w:tcPr>
          <w:p>
            <w:pPr>
              <w:adjustRightInd w:val="0"/>
              <w:snapToGrid w:val="0"/>
              <w:jc w:val="center"/>
              <w:rPr>
                <w:bCs/>
                <w:szCs w:val="21"/>
              </w:rPr>
            </w:pPr>
            <w:r>
              <w:rPr>
                <w:rFonts w:hint="eastAsia"/>
                <w:bCs/>
                <w:szCs w:val="21"/>
              </w:rPr>
              <w:t>DA002排气筒</w:t>
            </w:r>
          </w:p>
        </w:tc>
        <w:tc>
          <w:tcPr>
            <w:tcW w:w="1736" w:type="dxa"/>
            <w:vAlign w:val="center"/>
          </w:tcPr>
          <w:p>
            <w:pPr>
              <w:adjustRightInd w:val="0"/>
              <w:snapToGrid w:val="0"/>
              <w:jc w:val="center"/>
              <w:rPr>
                <w:szCs w:val="21"/>
              </w:rPr>
            </w:pPr>
            <w:r>
              <w:rPr>
                <w:szCs w:val="21"/>
              </w:rPr>
              <w:t>非甲烷总烃</w:t>
            </w:r>
          </w:p>
        </w:tc>
        <w:tc>
          <w:tcPr>
            <w:tcW w:w="1689" w:type="dxa"/>
            <w:vAlign w:val="center"/>
          </w:tcPr>
          <w:p>
            <w:pPr>
              <w:adjustRightInd w:val="0"/>
              <w:snapToGrid w:val="0"/>
              <w:jc w:val="center"/>
              <w:rPr>
                <w:szCs w:val="21"/>
              </w:rPr>
            </w:pPr>
            <w:r>
              <w:rPr>
                <w:rFonts w:hint="eastAsia"/>
                <w:szCs w:val="21"/>
              </w:rPr>
              <w:t>二级</w:t>
            </w:r>
            <w:r>
              <w:rPr>
                <w:szCs w:val="21"/>
              </w:rPr>
              <w:t>活性炭吸附装置</w:t>
            </w:r>
          </w:p>
        </w:tc>
        <w:tc>
          <w:tcPr>
            <w:tcW w:w="1997" w:type="dxa"/>
            <w:vMerge w:val="continue"/>
            <w:vAlign w:val="center"/>
          </w:tcPr>
          <w:p>
            <w:pPr>
              <w:adjustRightInd w:val="0"/>
              <w:snapToGrid w:val="0"/>
              <w:jc w:val="center"/>
              <w:rPr>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Merge w:val="continue"/>
            <w:vAlign w:val="center"/>
          </w:tcPr>
          <w:p>
            <w:pPr>
              <w:adjustRightInd w:val="0"/>
              <w:snapToGrid w:val="0"/>
              <w:jc w:val="center"/>
              <w:rPr>
                <w:rFonts w:ascii="宋体" w:hAnsi="宋体" w:cs="宋体"/>
                <w:sz w:val="24"/>
              </w:rPr>
            </w:pPr>
          </w:p>
        </w:tc>
        <w:tc>
          <w:tcPr>
            <w:tcW w:w="1807" w:type="dxa"/>
            <w:vAlign w:val="center"/>
          </w:tcPr>
          <w:p>
            <w:pPr>
              <w:adjustRightInd w:val="0"/>
              <w:snapToGrid w:val="0"/>
              <w:jc w:val="center"/>
              <w:rPr>
                <w:bCs/>
                <w:szCs w:val="21"/>
              </w:rPr>
            </w:pPr>
            <w:r>
              <w:rPr>
                <w:rFonts w:hint="eastAsia"/>
                <w:bCs/>
                <w:szCs w:val="21"/>
              </w:rPr>
              <w:t>DA003排气筒</w:t>
            </w:r>
          </w:p>
        </w:tc>
        <w:tc>
          <w:tcPr>
            <w:tcW w:w="1736" w:type="dxa"/>
            <w:vAlign w:val="center"/>
          </w:tcPr>
          <w:p>
            <w:pPr>
              <w:adjustRightInd w:val="0"/>
              <w:snapToGrid w:val="0"/>
              <w:jc w:val="center"/>
              <w:rPr>
                <w:szCs w:val="21"/>
              </w:rPr>
            </w:pPr>
            <w:r>
              <w:rPr>
                <w:rFonts w:hint="eastAsia"/>
                <w:szCs w:val="21"/>
              </w:rPr>
              <w:t>颗粒物</w:t>
            </w:r>
          </w:p>
        </w:tc>
        <w:tc>
          <w:tcPr>
            <w:tcW w:w="1689" w:type="dxa"/>
            <w:vAlign w:val="center"/>
          </w:tcPr>
          <w:p>
            <w:pPr>
              <w:adjustRightInd w:val="0"/>
              <w:snapToGrid w:val="0"/>
              <w:jc w:val="center"/>
              <w:rPr>
                <w:szCs w:val="21"/>
              </w:rPr>
            </w:pPr>
            <w:r>
              <w:rPr>
                <w:rFonts w:hint="eastAsia"/>
                <w:szCs w:val="21"/>
              </w:rPr>
              <w:t>布袋除尘</w:t>
            </w:r>
          </w:p>
        </w:tc>
        <w:tc>
          <w:tcPr>
            <w:tcW w:w="1997" w:type="dxa"/>
            <w:vMerge w:val="continue"/>
            <w:vAlign w:val="center"/>
          </w:tcPr>
          <w:p>
            <w:pPr>
              <w:adjustRightInd w:val="0"/>
              <w:snapToGrid w:val="0"/>
              <w:jc w:val="center"/>
              <w:rPr>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Merge w:val="continue"/>
            <w:vAlign w:val="center"/>
          </w:tcPr>
          <w:p>
            <w:pPr>
              <w:adjustRightInd w:val="0"/>
              <w:snapToGrid w:val="0"/>
              <w:jc w:val="center"/>
              <w:rPr>
                <w:rFonts w:ascii="宋体" w:hAnsi="宋体" w:cs="宋体"/>
                <w:sz w:val="24"/>
              </w:rPr>
            </w:pPr>
          </w:p>
        </w:tc>
        <w:tc>
          <w:tcPr>
            <w:tcW w:w="1807" w:type="dxa"/>
            <w:vAlign w:val="center"/>
          </w:tcPr>
          <w:p>
            <w:pPr>
              <w:adjustRightInd w:val="0"/>
              <w:snapToGrid w:val="0"/>
              <w:jc w:val="center"/>
              <w:rPr>
                <w:bCs/>
                <w:szCs w:val="21"/>
              </w:rPr>
            </w:pPr>
            <w:r>
              <w:rPr>
                <w:rFonts w:hint="eastAsia"/>
                <w:bCs/>
                <w:szCs w:val="21"/>
              </w:rPr>
              <w:t>DA004排气筒</w:t>
            </w:r>
          </w:p>
        </w:tc>
        <w:tc>
          <w:tcPr>
            <w:tcW w:w="1736" w:type="dxa"/>
            <w:vAlign w:val="center"/>
          </w:tcPr>
          <w:p>
            <w:pPr>
              <w:adjustRightInd w:val="0"/>
              <w:snapToGrid w:val="0"/>
              <w:jc w:val="center"/>
              <w:rPr>
                <w:szCs w:val="21"/>
              </w:rPr>
            </w:pPr>
            <w:r>
              <w:rPr>
                <w:rFonts w:hint="eastAsia"/>
                <w:szCs w:val="21"/>
              </w:rPr>
              <w:t>非甲烷总烃、颗粒物</w:t>
            </w:r>
          </w:p>
        </w:tc>
        <w:tc>
          <w:tcPr>
            <w:tcW w:w="1689" w:type="dxa"/>
            <w:vAlign w:val="center"/>
          </w:tcPr>
          <w:p>
            <w:pPr>
              <w:adjustRightInd w:val="0"/>
              <w:snapToGrid w:val="0"/>
              <w:jc w:val="center"/>
              <w:rPr>
                <w:szCs w:val="21"/>
              </w:rPr>
            </w:pPr>
            <w:r>
              <w:rPr>
                <w:rFonts w:hint="eastAsia"/>
                <w:szCs w:val="21"/>
              </w:rPr>
              <w:t>喷塑废气经集气罩+玻璃纤维过滤装置、固化废气经集气罩+二级活性炭吸附装置处理后合并排放</w:t>
            </w:r>
            <w:r>
              <w:rPr>
                <w:rStyle w:val="40"/>
              </w:rPr>
              <w:t>，</w:t>
            </w:r>
            <w:r>
              <w:rPr>
                <w:szCs w:val="21"/>
              </w:rPr>
              <w:t>装置风量</w:t>
            </w:r>
            <w:r>
              <w:rPr>
                <w:rFonts w:hint="eastAsia"/>
                <w:szCs w:val="21"/>
              </w:rPr>
              <w:t>共15000</w:t>
            </w:r>
            <w:r>
              <w:rPr>
                <w:szCs w:val="21"/>
              </w:rPr>
              <w:t>m</w:t>
            </w:r>
            <w:r>
              <w:rPr>
                <w:szCs w:val="21"/>
                <w:vertAlign w:val="superscript"/>
              </w:rPr>
              <w:t>3</w:t>
            </w:r>
            <w:r>
              <w:rPr>
                <w:szCs w:val="21"/>
              </w:rPr>
              <w:t>/h</w:t>
            </w:r>
          </w:p>
        </w:tc>
        <w:tc>
          <w:tcPr>
            <w:tcW w:w="1997" w:type="dxa"/>
            <w:vMerge w:val="continue"/>
            <w:vAlign w:val="center"/>
          </w:tcPr>
          <w:p>
            <w:pPr>
              <w:adjustRightInd w:val="0"/>
              <w:snapToGrid w:val="0"/>
              <w:jc w:val="center"/>
              <w:rPr>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Merge w:val="continue"/>
            <w:vAlign w:val="center"/>
          </w:tcPr>
          <w:p>
            <w:pPr>
              <w:adjustRightInd w:val="0"/>
              <w:snapToGrid w:val="0"/>
              <w:jc w:val="center"/>
              <w:rPr>
                <w:rFonts w:ascii="宋体" w:hAnsi="宋体" w:cs="宋体"/>
                <w:sz w:val="24"/>
              </w:rPr>
            </w:pPr>
          </w:p>
        </w:tc>
        <w:tc>
          <w:tcPr>
            <w:tcW w:w="1807" w:type="dxa"/>
            <w:vAlign w:val="center"/>
          </w:tcPr>
          <w:p>
            <w:pPr>
              <w:adjustRightInd w:val="0"/>
              <w:snapToGrid w:val="0"/>
              <w:jc w:val="center"/>
              <w:rPr>
                <w:bCs/>
                <w:szCs w:val="21"/>
              </w:rPr>
            </w:pPr>
            <w:r>
              <w:rPr>
                <w:rFonts w:hint="eastAsia"/>
                <w:bCs/>
                <w:szCs w:val="21"/>
              </w:rPr>
              <w:t>DA005排气筒</w:t>
            </w:r>
          </w:p>
        </w:tc>
        <w:tc>
          <w:tcPr>
            <w:tcW w:w="1736" w:type="dxa"/>
            <w:vAlign w:val="center"/>
          </w:tcPr>
          <w:p>
            <w:pPr>
              <w:adjustRightInd w:val="0"/>
              <w:snapToGrid w:val="0"/>
              <w:jc w:val="center"/>
              <w:rPr>
                <w:szCs w:val="21"/>
              </w:rPr>
            </w:pPr>
            <w:r>
              <w:rPr>
                <w:rFonts w:hint="eastAsia"/>
                <w:szCs w:val="21"/>
              </w:rPr>
              <w:t>非甲烷总烃</w:t>
            </w:r>
          </w:p>
        </w:tc>
        <w:tc>
          <w:tcPr>
            <w:tcW w:w="1689" w:type="dxa"/>
            <w:vAlign w:val="center"/>
          </w:tcPr>
          <w:p>
            <w:pPr>
              <w:adjustRightInd w:val="0"/>
              <w:snapToGrid w:val="0"/>
              <w:jc w:val="center"/>
              <w:rPr>
                <w:szCs w:val="21"/>
              </w:rPr>
            </w:pPr>
            <w:r>
              <w:rPr>
                <w:rFonts w:hint="eastAsia"/>
                <w:color w:val="000000" w:themeColor="text1"/>
                <w:szCs w:val="21"/>
                <w14:textFill>
                  <w14:solidFill>
                    <w14:schemeClr w14:val="tx1"/>
                  </w14:solidFill>
                </w14:textFill>
              </w:rPr>
              <w:t>二级活性炭吸附</w:t>
            </w:r>
          </w:p>
        </w:tc>
        <w:tc>
          <w:tcPr>
            <w:tcW w:w="1997" w:type="dxa"/>
            <w:vMerge w:val="continue"/>
            <w:vAlign w:val="center"/>
          </w:tcPr>
          <w:p>
            <w:pPr>
              <w:adjustRightInd w:val="0"/>
              <w:snapToGrid w:val="0"/>
              <w:jc w:val="center"/>
              <w:rPr>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Merge w:val="continue"/>
            <w:vAlign w:val="center"/>
          </w:tcPr>
          <w:p>
            <w:pPr>
              <w:adjustRightInd w:val="0"/>
              <w:snapToGrid w:val="0"/>
              <w:jc w:val="center"/>
              <w:rPr>
                <w:rFonts w:ascii="宋体" w:hAnsi="宋体" w:cs="宋体"/>
                <w:sz w:val="24"/>
              </w:rPr>
            </w:pPr>
          </w:p>
        </w:tc>
        <w:tc>
          <w:tcPr>
            <w:tcW w:w="1807" w:type="dxa"/>
            <w:vAlign w:val="center"/>
          </w:tcPr>
          <w:p>
            <w:pPr>
              <w:adjustRightInd w:val="0"/>
              <w:snapToGrid w:val="0"/>
              <w:jc w:val="center"/>
              <w:rPr>
                <w:bCs/>
                <w:szCs w:val="21"/>
              </w:rPr>
            </w:pPr>
            <w:r>
              <w:rPr>
                <w:rFonts w:hint="eastAsia"/>
                <w:bCs/>
                <w:szCs w:val="21"/>
              </w:rPr>
              <w:t>DA006排气筒</w:t>
            </w:r>
          </w:p>
        </w:tc>
        <w:tc>
          <w:tcPr>
            <w:tcW w:w="1736" w:type="dxa"/>
            <w:vAlign w:val="center"/>
          </w:tcPr>
          <w:p>
            <w:pPr>
              <w:adjustRightInd w:val="0"/>
              <w:snapToGrid w:val="0"/>
              <w:jc w:val="center"/>
              <w:rPr>
                <w:szCs w:val="21"/>
              </w:rPr>
            </w:pPr>
            <w:r>
              <w:rPr>
                <w:rFonts w:hint="eastAsia"/>
                <w:szCs w:val="21"/>
              </w:rPr>
              <w:t>非甲烷总烃</w:t>
            </w:r>
          </w:p>
        </w:tc>
        <w:tc>
          <w:tcPr>
            <w:tcW w:w="1689" w:type="dxa"/>
            <w:vAlign w:val="center"/>
          </w:tcPr>
          <w:p>
            <w:pPr>
              <w:adjustRightInd w:val="0"/>
              <w:snapToGrid w:val="0"/>
              <w:jc w:val="center"/>
              <w:rPr>
                <w:szCs w:val="21"/>
              </w:rPr>
            </w:pPr>
            <w:r>
              <w:rPr>
                <w:rFonts w:hint="eastAsia"/>
                <w:color w:val="000000" w:themeColor="text1"/>
                <w:szCs w:val="21"/>
                <w14:textFill>
                  <w14:solidFill>
                    <w14:schemeClr w14:val="tx1"/>
                  </w14:solidFill>
                </w14:textFill>
              </w:rPr>
              <w:t>二级活性炭吸附</w:t>
            </w:r>
          </w:p>
        </w:tc>
        <w:tc>
          <w:tcPr>
            <w:tcW w:w="1997" w:type="dxa"/>
            <w:vMerge w:val="continue"/>
            <w:vAlign w:val="center"/>
          </w:tcPr>
          <w:p>
            <w:pPr>
              <w:adjustRightInd w:val="0"/>
              <w:snapToGrid w:val="0"/>
              <w:jc w:val="center"/>
              <w:rPr>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Merge w:val="continue"/>
            <w:vAlign w:val="center"/>
          </w:tcPr>
          <w:p>
            <w:pPr>
              <w:adjustRightInd w:val="0"/>
              <w:snapToGrid w:val="0"/>
              <w:jc w:val="center"/>
              <w:rPr>
                <w:rFonts w:ascii="宋体" w:hAnsi="宋体" w:cs="宋体"/>
                <w:sz w:val="24"/>
              </w:rPr>
            </w:pPr>
          </w:p>
        </w:tc>
        <w:tc>
          <w:tcPr>
            <w:tcW w:w="1807" w:type="dxa"/>
            <w:vAlign w:val="center"/>
          </w:tcPr>
          <w:p>
            <w:pPr>
              <w:adjustRightInd w:val="0"/>
              <w:snapToGrid w:val="0"/>
              <w:jc w:val="center"/>
              <w:rPr>
                <w:szCs w:val="21"/>
              </w:rPr>
            </w:pPr>
            <w:r>
              <w:rPr>
                <w:szCs w:val="21"/>
              </w:rPr>
              <w:t>生产车间</w:t>
            </w:r>
          </w:p>
        </w:tc>
        <w:tc>
          <w:tcPr>
            <w:tcW w:w="1736" w:type="dxa"/>
            <w:vAlign w:val="center"/>
          </w:tcPr>
          <w:p>
            <w:pPr>
              <w:adjustRightInd w:val="0"/>
              <w:snapToGrid w:val="0"/>
              <w:jc w:val="center"/>
              <w:rPr>
                <w:szCs w:val="21"/>
              </w:rPr>
            </w:pPr>
            <w:r>
              <w:rPr>
                <w:szCs w:val="21"/>
              </w:rPr>
              <w:t>非甲烷总烃</w:t>
            </w:r>
            <w:r>
              <w:rPr>
                <w:rFonts w:hint="eastAsia"/>
                <w:szCs w:val="21"/>
              </w:rPr>
              <w:t>、颗粒物</w:t>
            </w:r>
          </w:p>
        </w:tc>
        <w:tc>
          <w:tcPr>
            <w:tcW w:w="1689" w:type="dxa"/>
            <w:vAlign w:val="center"/>
          </w:tcPr>
          <w:p>
            <w:pPr>
              <w:adjustRightInd w:val="0"/>
              <w:snapToGrid w:val="0"/>
              <w:jc w:val="center"/>
              <w:rPr>
                <w:szCs w:val="21"/>
              </w:rPr>
            </w:pPr>
            <w:r>
              <w:rPr>
                <w:rFonts w:hint="eastAsia"/>
                <w:szCs w:val="21"/>
              </w:rPr>
              <w:t>加强通风</w:t>
            </w:r>
          </w:p>
        </w:tc>
        <w:tc>
          <w:tcPr>
            <w:tcW w:w="1997" w:type="dxa"/>
            <w:vMerge w:val="continue"/>
            <w:vAlign w:val="center"/>
          </w:tcPr>
          <w:p>
            <w:pPr>
              <w:adjustRightInd w:val="0"/>
              <w:snapToGrid w:val="0"/>
              <w:jc w:val="center"/>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Align w:val="center"/>
          </w:tcPr>
          <w:p>
            <w:pPr>
              <w:adjustRightInd w:val="0"/>
              <w:snapToGrid w:val="0"/>
              <w:jc w:val="center"/>
              <w:rPr>
                <w:rFonts w:ascii="宋体" w:hAnsi="宋体" w:cs="宋体"/>
                <w:sz w:val="24"/>
              </w:rPr>
            </w:pPr>
            <w:r>
              <w:rPr>
                <w:rFonts w:hint="eastAsia" w:ascii="宋体" w:hAnsi="宋体" w:cs="宋体"/>
                <w:sz w:val="24"/>
              </w:rPr>
              <w:t>地表水环境</w:t>
            </w:r>
          </w:p>
        </w:tc>
        <w:tc>
          <w:tcPr>
            <w:tcW w:w="1807" w:type="dxa"/>
            <w:vAlign w:val="center"/>
          </w:tcPr>
          <w:p>
            <w:pPr>
              <w:pStyle w:val="60"/>
              <w:adjustRightInd w:val="0"/>
              <w:snapToGrid w:val="0"/>
              <w:jc w:val="center"/>
              <w:rPr>
                <w:rFonts w:ascii="Times New Roman" w:hAnsi="Times New Roman" w:cs="Times New Roman"/>
                <w:szCs w:val="21"/>
                <w:lang w:val="en-US" w:bidi="ar-SA"/>
              </w:rPr>
            </w:pPr>
            <w:r>
              <w:rPr>
                <w:rFonts w:ascii="Times New Roman" w:hAnsi="Times New Roman" w:cs="Times New Roman"/>
                <w:spacing w:val="-1"/>
                <w:szCs w:val="21"/>
              </w:rPr>
              <w:t>生活污水</w:t>
            </w:r>
          </w:p>
        </w:tc>
        <w:tc>
          <w:tcPr>
            <w:tcW w:w="1736" w:type="dxa"/>
            <w:vAlign w:val="center"/>
          </w:tcPr>
          <w:p>
            <w:pPr>
              <w:pStyle w:val="60"/>
              <w:adjustRightInd w:val="0"/>
              <w:snapToGrid w:val="0"/>
              <w:jc w:val="center"/>
              <w:rPr>
                <w:rFonts w:ascii="Times New Roman" w:hAnsi="Times New Roman" w:cs="Times New Roman"/>
                <w:szCs w:val="21"/>
                <w:lang w:val="en-US" w:bidi="ar-SA"/>
              </w:rPr>
            </w:pPr>
            <w:r>
              <w:rPr>
                <w:rFonts w:hint="eastAsia" w:ascii="Times New Roman" w:hAnsi="Times New Roman" w:cs="Times New Roman"/>
                <w:spacing w:val="-1"/>
                <w:position w:val="2"/>
                <w:szCs w:val="21"/>
                <w:lang w:val="en-US"/>
              </w:rPr>
              <w:t>pH值、</w:t>
            </w:r>
            <w:r>
              <w:rPr>
                <w:rFonts w:ascii="Times New Roman" w:hAnsi="Times New Roman" w:cs="Times New Roman"/>
                <w:spacing w:val="-1"/>
                <w:position w:val="2"/>
                <w:szCs w:val="21"/>
                <w:lang w:val="en-US"/>
              </w:rPr>
              <w:t>COD</w:t>
            </w:r>
            <w:r>
              <w:rPr>
                <w:rFonts w:hint="eastAsia" w:ascii="Times New Roman" w:hAnsi="Times New Roman" w:cs="Times New Roman"/>
                <w:spacing w:val="-1"/>
                <w:position w:val="2"/>
                <w:szCs w:val="21"/>
                <w:lang w:val="en-US"/>
              </w:rPr>
              <w:t>cr</w:t>
            </w:r>
            <w:r>
              <w:rPr>
                <w:rFonts w:ascii="Times New Roman" w:hAnsi="Times New Roman" w:cs="Times New Roman"/>
                <w:spacing w:val="-1"/>
                <w:position w:val="2"/>
                <w:szCs w:val="21"/>
              </w:rPr>
              <w:t>、</w:t>
            </w:r>
            <w:r>
              <w:rPr>
                <w:rFonts w:ascii="Times New Roman" w:hAnsi="Times New Roman" w:cs="Times New Roman"/>
                <w:szCs w:val="21"/>
                <w:lang w:val="en-US"/>
              </w:rPr>
              <w:t>SS</w:t>
            </w:r>
            <w:r>
              <w:rPr>
                <w:rFonts w:ascii="Times New Roman" w:hAnsi="Times New Roman" w:cs="Times New Roman"/>
                <w:spacing w:val="-1"/>
                <w:position w:val="2"/>
                <w:szCs w:val="21"/>
              </w:rPr>
              <w:t>、</w:t>
            </w:r>
            <w:r>
              <w:rPr>
                <w:rFonts w:ascii="Times New Roman" w:hAnsi="Times New Roman" w:cs="Times New Roman"/>
                <w:spacing w:val="-1"/>
                <w:position w:val="2"/>
                <w:szCs w:val="21"/>
                <w:lang w:val="en-US"/>
              </w:rPr>
              <w:t>NH</w:t>
            </w:r>
            <w:r>
              <w:rPr>
                <w:rFonts w:ascii="Times New Roman" w:hAnsi="Times New Roman" w:cs="Times New Roman"/>
                <w:spacing w:val="-1"/>
                <w:szCs w:val="21"/>
                <w:vertAlign w:val="subscript"/>
                <w:lang w:val="en-US"/>
              </w:rPr>
              <w:t>3</w:t>
            </w:r>
            <w:r>
              <w:rPr>
                <w:rFonts w:ascii="Times New Roman" w:hAnsi="Times New Roman" w:cs="Times New Roman"/>
                <w:spacing w:val="-1"/>
                <w:position w:val="2"/>
                <w:szCs w:val="21"/>
                <w:lang w:val="en-US"/>
              </w:rPr>
              <w:t>-N</w:t>
            </w:r>
            <w:r>
              <w:rPr>
                <w:rFonts w:ascii="Times New Roman" w:hAnsi="Times New Roman" w:cs="Times New Roman"/>
                <w:spacing w:val="-1"/>
                <w:position w:val="2"/>
                <w:szCs w:val="21"/>
              </w:rPr>
              <w:t>、</w:t>
            </w:r>
            <w:r>
              <w:rPr>
                <w:rFonts w:ascii="Times New Roman" w:hAnsi="Times New Roman" w:cs="Times New Roman"/>
                <w:spacing w:val="24"/>
                <w:position w:val="2"/>
                <w:szCs w:val="21"/>
                <w:lang w:val="en-US"/>
              </w:rPr>
              <w:t>TP、TN</w:t>
            </w:r>
          </w:p>
        </w:tc>
        <w:tc>
          <w:tcPr>
            <w:tcW w:w="1689" w:type="dxa"/>
            <w:vAlign w:val="center"/>
          </w:tcPr>
          <w:p>
            <w:pPr>
              <w:pStyle w:val="60"/>
              <w:adjustRightInd w:val="0"/>
              <w:snapToGrid w:val="0"/>
              <w:jc w:val="center"/>
              <w:rPr>
                <w:rFonts w:ascii="Times New Roman" w:hAnsi="Times New Roman" w:cs="Times New Roman"/>
                <w:szCs w:val="21"/>
                <w:lang w:val="en-US" w:bidi="ar-SA"/>
              </w:rPr>
            </w:pPr>
            <w:r>
              <w:rPr>
                <w:rFonts w:hint="eastAsia" w:ascii="Times New Roman" w:hAnsi="Times New Roman" w:cs="Times New Roman"/>
                <w:spacing w:val="-1"/>
                <w:szCs w:val="21"/>
                <w:lang w:val="en-US"/>
              </w:rPr>
              <w:t>化粪池预处理后</w:t>
            </w:r>
            <w:r>
              <w:rPr>
                <w:rFonts w:ascii="Times New Roman" w:hAnsi="Times New Roman" w:cs="Times New Roman"/>
                <w:spacing w:val="-1"/>
                <w:szCs w:val="21"/>
              </w:rPr>
              <w:t>接</w:t>
            </w:r>
            <w:r>
              <w:rPr>
                <w:rFonts w:hint="eastAsia" w:ascii="Times New Roman" w:hAnsi="Times New Roman"/>
                <w:szCs w:val="21"/>
              </w:rPr>
              <w:t>江苏港城污水处理有限公司</w:t>
            </w:r>
          </w:p>
        </w:tc>
        <w:tc>
          <w:tcPr>
            <w:tcW w:w="1997" w:type="dxa"/>
            <w:vAlign w:val="center"/>
          </w:tcPr>
          <w:p>
            <w:pPr>
              <w:pStyle w:val="79"/>
              <w:adjustRightInd w:val="0"/>
              <w:snapToGrid w:val="0"/>
              <w:rPr>
                <w:rFonts w:eastAsia="宋体"/>
                <w:color w:val="auto"/>
                <w:szCs w:val="21"/>
              </w:rPr>
            </w:pPr>
            <w:r>
              <w:rPr>
                <w:rFonts w:hint="eastAsia" w:eastAsia="宋体"/>
                <w:color w:val="auto"/>
                <w:szCs w:val="21"/>
              </w:rPr>
              <w:t>江苏港城污水处理有限公司</w:t>
            </w:r>
            <w:r>
              <w:rPr>
                <w:color w:val="auto"/>
                <w:szCs w:val="21"/>
              </w:rPr>
              <w:t>接管标准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Align w:val="center"/>
          </w:tcPr>
          <w:p>
            <w:pPr>
              <w:adjustRightInd w:val="0"/>
              <w:snapToGrid w:val="0"/>
              <w:jc w:val="center"/>
              <w:rPr>
                <w:rFonts w:ascii="宋体" w:hAnsi="宋体" w:cs="宋体"/>
                <w:sz w:val="24"/>
              </w:rPr>
            </w:pPr>
            <w:r>
              <w:rPr>
                <w:rFonts w:hint="eastAsia" w:ascii="宋体" w:hAnsi="宋体" w:cs="宋体"/>
                <w:sz w:val="24"/>
              </w:rPr>
              <w:t>声环境</w:t>
            </w:r>
          </w:p>
        </w:tc>
        <w:tc>
          <w:tcPr>
            <w:tcW w:w="1807" w:type="dxa"/>
            <w:vAlign w:val="center"/>
          </w:tcPr>
          <w:p>
            <w:pPr>
              <w:pStyle w:val="60"/>
              <w:adjustRightInd w:val="0"/>
              <w:snapToGrid w:val="0"/>
              <w:jc w:val="center"/>
              <w:rPr>
                <w:sz w:val="24"/>
              </w:rPr>
            </w:pPr>
            <w:r>
              <w:rPr>
                <w:rFonts w:hint="eastAsia" w:ascii="Times New Roman" w:hAnsi="Times New Roman" w:cs="Times New Roman"/>
                <w:spacing w:val="-1"/>
                <w:szCs w:val="21"/>
                <w:lang w:val="en-US"/>
              </w:rPr>
              <w:t>生产车间</w:t>
            </w:r>
          </w:p>
        </w:tc>
        <w:tc>
          <w:tcPr>
            <w:tcW w:w="1736" w:type="dxa"/>
            <w:vAlign w:val="center"/>
          </w:tcPr>
          <w:p>
            <w:pPr>
              <w:pStyle w:val="60"/>
              <w:adjustRightInd w:val="0"/>
              <w:snapToGrid w:val="0"/>
              <w:jc w:val="center"/>
              <w:rPr>
                <w:sz w:val="24"/>
              </w:rPr>
            </w:pPr>
            <w:r>
              <w:rPr>
                <w:rFonts w:hint="eastAsia" w:ascii="Times New Roman" w:hAnsi="Times New Roman" w:cs="Times New Roman"/>
                <w:spacing w:val="-1"/>
                <w:position w:val="2"/>
                <w:szCs w:val="21"/>
                <w:lang w:val="en-US"/>
              </w:rPr>
              <w:t>噪声</w:t>
            </w:r>
          </w:p>
        </w:tc>
        <w:tc>
          <w:tcPr>
            <w:tcW w:w="1689" w:type="dxa"/>
            <w:vAlign w:val="center"/>
          </w:tcPr>
          <w:p>
            <w:pPr>
              <w:pStyle w:val="60"/>
              <w:adjustRightInd w:val="0"/>
              <w:snapToGrid w:val="0"/>
              <w:jc w:val="center"/>
              <w:rPr>
                <w:rFonts w:ascii="Times New Roman" w:hAnsi="Times New Roman" w:cs="Times New Roman"/>
                <w:spacing w:val="-1"/>
                <w:szCs w:val="21"/>
                <w:lang w:val="en-US"/>
              </w:rPr>
            </w:pPr>
            <w:r>
              <w:rPr>
                <w:rFonts w:hint="eastAsia" w:ascii="Times New Roman" w:hAnsi="Times New Roman" w:cs="Times New Roman"/>
                <w:spacing w:val="-1"/>
                <w:szCs w:val="21"/>
                <w:lang w:val="en-US"/>
              </w:rPr>
              <w:t>隔声、减震、选</w:t>
            </w:r>
          </w:p>
          <w:p>
            <w:pPr>
              <w:pStyle w:val="60"/>
              <w:adjustRightInd w:val="0"/>
              <w:snapToGrid w:val="0"/>
              <w:jc w:val="center"/>
              <w:rPr>
                <w:rFonts w:ascii="Times New Roman" w:hAnsi="Times New Roman" w:cs="Times New Roman"/>
                <w:spacing w:val="-1"/>
                <w:szCs w:val="21"/>
                <w:lang w:val="en-US"/>
              </w:rPr>
            </w:pPr>
            <w:r>
              <w:rPr>
                <w:rFonts w:hint="eastAsia" w:ascii="Times New Roman" w:hAnsi="Times New Roman" w:cs="Times New Roman"/>
                <w:spacing w:val="-1"/>
                <w:szCs w:val="21"/>
                <w:lang w:val="en-US"/>
              </w:rPr>
              <w:t>用低噪声设备</w:t>
            </w:r>
          </w:p>
          <w:p>
            <w:pPr>
              <w:pStyle w:val="60"/>
              <w:adjustRightInd w:val="0"/>
              <w:snapToGrid w:val="0"/>
              <w:jc w:val="center"/>
              <w:rPr>
                <w:sz w:val="24"/>
              </w:rPr>
            </w:pPr>
            <w:r>
              <w:rPr>
                <w:rFonts w:hint="eastAsia" w:ascii="Times New Roman" w:hAnsi="Times New Roman" w:cs="Times New Roman"/>
                <w:spacing w:val="-1"/>
                <w:szCs w:val="21"/>
                <w:lang w:val="en-US"/>
              </w:rPr>
              <w:t>等</w:t>
            </w:r>
          </w:p>
        </w:tc>
        <w:tc>
          <w:tcPr>
            <w:tcW w:w="1997" w:type="dxa"/>
            <w:vAlign w:val="center"/>
          </w:tcPr>
          <w:p>
            <w:pPr>
              <w:pStyle w:val="79"/>
              <w:adjustRightInd w:val="0"/>
              <w:snapToGrid w:val="0"/>
              <w:rPr>
                <w:color w:val="auto"/>
                <w:szCs w:val="21"/>
              </w:rPr>
            </w:pPr>
            <w:r>
              <w:rPr>
                <w:color w:val="auto"/>
                <w:szCs w:val="21"/>
              </w:rPr>
              <w:t>《工业企业厂界环境噪声排放标准》</w:t>
            </w:r>
          </w:p>
          <w:p>
            <w:pPr>
              <w:pStyle w:val="79"/>
              <w:adjustRightInd w:val="0"/>
              <w:snapToGrid w:val="0"/>
              <w:rPr>
                <w:rFonts w:ascii="宋体" w:hAnsi="宋体" w:cs="宋体"/>
                <w:color w:val="auto"/>
                <w:sz w:val="24"/>
              </w:rPr>
            </w:pPr>
            <w:r>
              <w:rPr>
                <w:color w:val="auto"/>
                <w:szCs w:val="21"/>
              </w:rPr>
              <w:t>（GB12348-2008）中</w:t>
            </w:r>
            <w:r>
              <w:rPr>
                <w:rFonts w:hint="eastAsia" w:eastAsia="宋体"/>
                <w:color w:val="auto"/>
                <w:szCs w:val="21"/>
              </w:rPr>
              <w:t>3</w:t>
            </w:r>
            <w:r>
              <w:rPr>
                <w:color w:val="auto"/>
                <w:szCs w:val="21"/>
              </w:rPr>
              <w:t>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Align w:val="center"/>
          </w:tcPr>
          <w:p>
            <w:pPr>
              <w:adjustRightInd w:val="0"/>
              <w:snapToGrid w:val="0"/>
              <w:jc w:val="center"/>
              <w:rPr>
                <w:rFonts w:ascii="宋体" w:hAnsi="宋体" w:cs="宋体"/>
                <w:sz w:val="24"/>
              </w:rPr>
            </w:pPr>
            <w:r>
              <w:rPr>
                <w:rFonts w:hint="eastAsia" w:ascii="宋体" w:hAnsi="宋体" w:cs="宋体"/>
                <w:sz w:val="24"/>
              </w:rPr>
              <w:t>电磁辐射</w:t>
            </w:r>
          </w:p>
        </w:tc>
        <w:tc>
          <w:tcPr>
            <w:tcW w:w="7229" w:type="dxa"/>
            <w:gridSpan w:val="4"/>
            <w:vAlign w:val="center"/>
          </w:tcPr>
          <w:p>
            <w:pPr>
              <w:adjustRightInd w:val="0"/>
              <w:snapToGrid w:val="0"/>
              <w:jc w:val="center"/>
              <w:rPr>
                <w:rFonts w:ascii="宋体" w:hAnsi="宋体" w:cs="宋体"/>
                <w:sz w:val="24"/>
              </w:rPr>
            </w:pPr>
            <w:r>
              <w:rPr>
                <w:rFonts w:hint="eastAsia" w:ascii="宋体" w:hAnsi="宋体" w:cs="宋体"/>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Align w:val="center"/>
          </w:tcPr>
          <w:p>
            <w:pPr>
              <w:adjustRightInd w:val="0"/>
              <w:snapToGrid w:val="0"/>
              <w:jc w:val="center"/>
              <w:rPr>
                <w:rFonts w:ascii="宋体" w:hAnsi="宋体" w:cs="宋体"/>
                <w:sz w:val="24"/>
              </w:rPr>
            </w:pPr>
            <w:r>
              <w:rPr>
                <w:rFonts w:hint="eastAsia" w:ascii="宋体" w:hAnsi="宋体" w:cs="宋体"/>
                <w:sz w:val="24"/>
              </w:rPr>
              <w:t>固体废物</w:t>
            </w:r>
          </w:p>
        </w:tc>
        <w:tc>
          <w:tcPr>
            <w:tcW w:w="7229" w:type="dxa"/>
            <w:gridSpan w:val="4"/>
            <w:vAlign w:val="center"/>
          </w:tcPr>
          <w:p>
            <w:pPr>
              <w:adjustRightInd w:val="0"/>
              <w:snapToGrid w:val="0"/>
              <w:jc w:val="center"/>
              <w:rPr>
                <w:rFonts w:ascii="宋体" w:hAnsi="宋体" w:cs="宋体"/>
                <w:sz w:val="24"/>
              </w:rPr>
            </w:pPr>
            <w:r>
              <w:rPr>
                <w:snapToGrid w:val="0"/>
                <w:color w:val="000000" w:themeColor="text1"/>
                <w:szCs w:val="21"/>
                <w14:textFill>
                  <w14:solidFill>
                    <w14:schemeClr w14:val="tx1"/>
                  </w14:solidFill>
                </w14:textFill>
              </w:rPr>
              <w:t>设置一般固废仓库</w:t>
            </w:r>
            <w:r>
              <w:rPr>
                <w:rFonts w:hint="eastAsia"/>
                <w:snapToGrid w:val="0"/>
                <w:color w:val="000000" w:themeColor="text1"/>
                <w:szCs w:val="21"/>
                <w14:textFill>
                  <w14:solidFill>
                    <w14:schemeClr w14:val="tx1"/>
                  </w14:solidFill>
                </w14:textFill>
              </w:rPr>
              <w:t>16</w:t>
            </w:r>
            <w:r>
              <w:rPr>
                <w:snapToGrid w:val="0"/>
                <w:color w:val="000000" w:themeColor="text1"/>
                <w:szCs w:val="21"/>
                <w14:textFill>
                  <w14:solidFill>
                    <w14:schemeClr w14:val="tx1"/>
                  </w14:solidFill>
                </w14:textFill>
              </w:rPr>
              <w:t>m</w:t>
            </w:r>
            <w:r>
              <w:rPr>
                <w:snapToGrid w:val="0"/>
                <w:color w:val="000000" w:themeColor="text1"/>
                <w:szCs w:val="21"/>
                <w:vertAlign w:val="superscript"/>
                <w14:textFill>
                  <w14:solidFill>
                    <w14:schemeClr w14:val="tx1"/>
                  </w14:solidFill>
                </w14:textFill>
              </w:rPr>
              <w:t>2</w:t>
            </w:r>
            <w:r>
              <w:rPr>
                <w:snapToGrid w:val="0"/>
                <w:color w:val="000000" w:themeColor="text1"/>
                <w:szCs w:val="21"/>
                <w14:textFill>
                  <w14:solidFill>
                    <w14:schemeClr w14:val="tx1"/>
                  </w14:solidFill>
                </w14:textFill>
              </w:rPr>
              <w:t>，危废间</w:t>
            </w:r>
            <w:r>
              <w:rPr>
                <w:rFonts w:hint="eastAsia"/>
                <w:snapToGrid w:val="0"/>
                <w:color w:val="000000" w:themeColor="text1"/>
                <w:szCs w:val="21"/>
                <w14:textFill>
                  <w14:solidFill>
                    <w14:schemeClr w14:val="tx1"/>
                  </w14:solidFill>
                </w14:textFill>
              </w:rPr>
              <w:t>20m</w:t>
            </w:r>
            <w:r>
              <w:rPr>
                <w:snapToGrid w:val="0"/>
                <w:color w:val="000000" w:themeColor="text1"/>
                <w:szCs w:val="21"/>
                <w:vertAlign w:val="superscript"/>
                <w14:textFill>
                  <w14:solidFill>
                    <w14:schemeClr w14:val="tx1"/>
                  </w14:solidFill>
                </w14:textFill>
              </w:rPr>
              <w:t>2</w:t>
            </w:r>
            <w:r>
              <w:rPr>
                <w:snapToGrid w:val="0"/>
                <w:color w:val="000000" w:themeColor="text1"/>
                <w:szCs w:val="21"/>
                <w14:textFill>
                  <w14:solidFill>
                    <w14:schemeClr w14:val="tx1"/>
                  </w14:solidFill>
                </w14:textFill>
              </w:rPr>
              <w:t>，危废间需进行防渗处理。固废暂存满足《一般工业固体废物贮存和填埋污染控制标准》（GB18599-2020）、《环境保护图形标志—固体废物贮存（处置场）》（GB1556</w:t>
            </w:r>
            <w:r>
              <w:rPr>
                <w:rFonts w:hint="eastAsia"/>
                <w:snapToGrid w:val="0"/>
                <w:color w:val="000000" w:themeColor="text1"/>
                <w:szCs w:val="21"/>
                <w14:textFill>
                  <w14:solidFill>
                    <w14:schemeClr w14:val="tx1"/>
                  </w14:solidFill>
                </w14:textFill>
              </w:rPr>
              <w:t>2.2</w:t>
            </w:r>
            <w:r>
              <w:rPr>
                <w:snapToGrid w:val="0"/>
                <w:color w:val="000000" w:themeColor="text1"/>
                <w:szCs w:val="21"/>
                <w14:textFill>
                  <w14:solidFill>
                    <w14:schemeClr w14:val="tx1"/>
                  </w14:solidFill>
                </w14:textFill>
              </w:rPr>
              <w:t>-</w:t>
            </w:r>
            <w:r>
              <w:rPr>
                <w:rFonts w:hint="eastAsia"/>
                <w:snapToGrid w:val="0"/>
                <w:color w:val="000000" w:themeColor="text1"/>
                <w:szCs w:val="21"/>
                <w14:textFill>
                  <w14:solidFill>
                    <w14:schemeClr w14:val="tx1"/>
                  </w14:solidFill>
                </w14:textFill>
              </w:rPr>
              <w:t>2020</w:t>
            </w:r>
            <w:r>
              <w:rPr>
                <w:snapToGrid w:val="0"/>
                <w:color w:val="000000" w:themeColor="text1"/>
                <w:szCs w:val="21"/>
                <w14:textFill>
                  <w14:solidFill>
                    <w14:schemeClr w14:val="tx1"/>
                  </w14:solidFill>
                </w14:textFill>
              </w:rPr>
              <w:t>）、</w:t>
            </w:r>
            <w:r>
              <w:rPr>
                <w:rFonts w:hint="eastAsia"/>
                <w:snapToGrid w:val="0"/>
                <w:color w:val="000000" w:themeColor="text1"/>
                <w:szCs w:val="21"/>
                <w14:textFill>
                  <w14:solidFill>
                    <w14:schemeClr w14:val="tx1"/>
                  </w14:solidFill>
                </w14:textFill>
              </w:rPr>
              <w:t>《危险废物贮存污染控制标准》（GB18597-2023）</w:t>
            </w:r>
            <w:r>
              <w:rPr>
                <w:snapToGrid w:val="0"/>
                <w:color w:val="000000" w:themeColor="text1"/>
                <w:szCs w:val="21"/>
                <w14:textFill>
                  <w14:solidFill>
                    <w14:schemeClr w14:val="tx1"/>
                  </w14:solidFill>
                </w14:textFill>
              </w:rPr>
              <w:t>等规定要求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Align w:val="center"/>
          </w:tcPr>
          <w:p>
            <w:pPr>
              <w:adjustRightInd w:val="0"/>
              <w:snapToGrid w:val="0"/>
              <w:jc w:val="center"/>
              <w:rPr>
                <w:rFonts w:ascii="宋体" w:hAnsi="宋体" w:cs="宋体"/>
                <w:sz w:val="24"/>
              </w:rPr>
            </w:pPr>
            <w:r>
              <w:rPr>
                <w:rFonts w:hint="eastAsia" w:ascii="宋体" w:hAnsi="宋体" w:cs="宋体"/>
                <w:sz w:val="24"/>
              </w:rPr>
              <w:t>土壤及地下水</w:t>
            </w:r>
          </w:p>
          <w:p>
            <w:pPr>
              <w:adjustRightInd w:val="0"/>
              <w:snapToGrid w:val="0"/>
              <w:jc w:val="center"/>
              <w:rPr>
                <w:rFonts w:ascii="宋体" w:hAnsi="宋体" w:cs="宋体"/>
                <w:sz w:val="24"/>
              </w:rPr>
            </w:pPr>
            <w:r>
              <w:rPr>
                <w:rFonts w:hint="eastAsia" w:ascii="宋体" w:hAnsi="宋体" w:cs="宋体"/>
                <w:sz w:val="24"/>
              </w:rPr>
              <w:t>污染防治措施</w:t>
            </w:r>
          </w:p>
        </w:tc>
        <w:tc>
          <w:tcPr>
            <w:tcW w:w="7229" w:type="dxa"/>
            <w:gridSpan w:val="4"/>
            <w:vAlign w:val="center"/>
          </w:tcPr>
          <w:p>
            <w:pPr>
              <w:adjustRightInd w:val="0"/>
              <w:snapToGrid w:val="0"/>
              <w:jc w:val="center"/>
              <w:rPr>
                <w:rFonts w:ascii="宋体" w:hAnsi="宋体" w:cs="宋体"/>
                <w:sz w:val="24"/>
              </w:rPr>
            </w:pPr>
            <w:r>
              <w:rPr>
                <w:szCs w:val="21"/>
              </w:rPr>
              <w:t>分区防控。主要包括污染区地面的防渗措施和泄漏、渗漏污染物收集措施，即在污染区地面进行防渗处理，防止洒落地面的污染物渗入地下，从而避免对地下水的污染。根据项目场地天然包气带防污性能、污染控制难易程度和污染物特性对项目进行分区防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Align w:val="center"/>
          </w:tcPr>
          <w:p>
            <w:pPr>
              <w:adjustRightInd w:val="0"/>
              <w:snapToGrid w:val="0"/>
              <w:jc w:val="center"/>
              <w:rPr>
                <w:rFonts w:ascii="宋体" w:hAnsi="宋体" w:cs="宋体"/>
                <w:sz w:val="24"/>
              </w:rPr>
            </w:pPr>
            <w:r>
              <w:rPr>
                <w:rFonts w:hint="eastAsia" w:ascii="宋体" w:hAnsi="宋体" w:cs="宋体"/>
                <w:sz w:val="24"/>
              </w:rPr>
              <w:t>生态保护措施</w:t>
            </w:r>
          </w:p>
        </w:tc>
        <w:tc>
          <w:tcPr>
            <w:tcW w:w="7229" w:type="dxa"/>
            <w:gridSpan w:val="4"/>
            <w:vAlign w:val="center"/>
          </w:tcPr>
          <w:p>
            <w:pPr>
              <w:adjustRightInd w:val="0"/>
              <w:snapToGrid w:val="0"/>
              <w:jc w:val="center"/>
              <w:rPr>
                <w:rFonts w:ascii="宋体" w:hAnsi="宋体" w:cs="宋体"/>
                <w:sz w:val="24"/>
              </w:rPr>
            </w:pPr>
            <w:r>
              <w:rPr>
                <w:rFonts w:hint="eastAsia" w:ascii="宋体" w:hAnsi="宋体" w:cs="宋体"/>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Align w:val="center"/>
          </w:tcPr>
          <w:p>
            <w:pPr>
              <w:adjustRightInd w:val="0"/>
              <w:snapToGrid w:val="0"/>
              <w:jc w:val="center"/>
              <w:rPr>
                <w:rFonts w:ascii="宋体" w:hAnsi="宋体" w:cs="宋体"/>
                <w:spacing w:val="-8"/>
                <w:sz w:val="24"/>
              </w:rPr>
            </w:pPr>
            <w:r>
              <w:rPr>
                <w:rFonts w:hint="eastAsia" w:ascii="宋体" w:hAnsi="宋体" w:cs="宋体"/>
                <w:spacing w:val="-8"/>
                <w:sz w:val="24"/>
              </w:rPr>
              <w:t>环境风险</w:t>
            </w:r>
          </w:p>
          <w:p>
            <w:pPr>
              <w:adjustRightInd w:val="0"/>
              <w:snapToGrid w:val="0"/>
              <w:jc w:val="center"/>
              <w:rPr>
                <w:rFonts w:ascii="宋体" w:hAnsi="宋体" w:cs="宋体"/>
                <w:spacing w:val="-8"/>
                <w:sz w:val="24"/>
              </w:rPr>
            </w:pPr>
            <w:r>
              <w:rPr>
                <w:rFonts w:hint="eastAsia" w:ascii="宋体" w:hAnsi="宋体" w:cs="宋体"/>
                <w:spacing w:val="-8"/>
                <w:sz w:val="24"/>
              </w:rPr>
              <w:t>防范措施</w:t>
            </w:r>
          </w:p>
        </w:tc>
        <w:tc>
          <w:tcPr>
            <w:tcW w:w="7229" w:type="dxa"/>
            <w:gridSpan w:val="4"/>
            <w:vAlign w:val="center"/>
          </w:tcPr>
          <w:p>
            <w:pPr>
              <w:adjustRightInd w:val="0"/>
              <w:snapToGrid w:val="0"/>
              <w:rPr>
                <w:rFonts w:ascii="宋体" w:hAnsi="宋体" w:cs="宋体"/>
              </w:rPr>
            </w:pPr>
            <w:r>
              <w:rPr>
                <w:snapToGrid w:val="0"/>
                <w:color w:val="000000" w:themeColor="text1"/>
                <w:szCs w:val="21"/>
                <w14:textFill>
                  <w14:solidFill>
                    <w14:schemeClr w14:val="tx1"/>
                  </w14:solidFill>
                </w14:textFill>
              </w:rPr>
              <w:t>在危险区域进行防渗防腐处理、设置截流沟和厂区设置事故池，一旦发生泄漏及火灾，危险物质可全部收集至截流沟内，消防水全部收集到事故池，然后进行专门处置，基本不会进入大气环境和地表水体。企业需及时编制突发环境事件应急预案，落实相应应急物资，按要求建设事故应急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1" w:type="dxa"/>
            <w:vAlign w:val="center"/>
          </w:tcPr>
          <w:p>
            <w:pPr>
              <w:adjustRightInd w:val="0"/>
              <w:snapToGrid w:val="0"/>
              <w:jc w:val="center"/>
              <w:rPr>
                <w:rFonts w:ascii="宋体" w:hAnsi="宋体" w:cs="宋体"/>
                <w:spacing w:val="-8"/>
                <w:sz w:val="24"/>
              </w:rPr>
            </w:pPr>
            <w:r>
              <w:rPr>
                <w:rFonts w:hint="eastAsia" w:ascii="宋体" w:hAnsi="宋体" w:cs="宋体"/>
                <w:spacing w:val="-8"/>
                <w:sz w:val="24"/>
              </w:rPr>
              <w:t>其他环境</w:t>
            </w:r>
          </w:p>
          <w:p>
            <w:pPr>
              <w:adjustRightInd w:val="0"/>
              <w:snapToGrid w:val="0"/>
              <w:jc w:val="center"/>
              <w:rPr>
                <w:rFonts w:ascii="宋体" w:hAnsi="宋体" w:cs="宋体"/>
                <w:spacing w:val="-8"/>
                <w:sz w:val="24"/>
              </w:rPr>
            </w:pPr>
            <w:r>
              <w:rPr>
                <w:rFonts w:hint="eastAsia" w:ascii="宋体" w:hAnsi="宋体" w:cs="宋体"/>
                <w:spacing w:val="-8"/>
                <w:sz w:val="24"/>
              </w:rPr>
              <w:t>管理要求</w:t>
            </w:r>
          </w:p>
        </w:tc>
        <w:tc>
          <w:tcPr>
            <w:tcW w:w="7229" w:type="dxa"/>
            <w:gridSpan w:val="4"/>
            <w:vAlign w:val="center"/>
          </w:tcPr>
          <w:p>
            <w:pPr>
              <w:adjustRightInd w:val="0"/>
              <w:snapToGrid w:val="0"/>
              <w:rPr>
                <w:b/>
                <w:bCs/>
                <w:snapToGrid w:val="0"/>
                <w:color w:val="000000" w:themeColor="text1"/>
                <w:szCs w:val="21"/>
                <w14:textFill>
                  <w14:solidFill>
                    <w14:schemeClr w14:val="tx1"/>
                  </w14:solidFill>
                </w14:textFill>
              </w:rPr>
            </w:pPr>
            <w:r>
              <w:rPr>
                <w:b/>
                <w:bCs/>
                <w:snapToGrid w:val="0"/>
                <w:color w:val="000000" w:themeColor="text1"/>
                <w:szCs w:val="21"/>
                <w14:textFill>
                  <w14:solidFill>
                    <w14:schemeClr w14:val="tx1"/>
                  </w14:solidFill>
                </w14:textFill>
              </w:rPr>
              <w:t>①环境管理要求：</w:t>
            </w:r>
          </w:p>
          <w:p>
            <w:pPr>
              <w:adjustRightInd w:val="0"/>
              <w:snapToGrid w:val="0"/>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要求企业制定各类环境管理的相关规章、制度和措施的要求，具体包括：</w:t>
            </w:r>
          </w:p>
          <w:p>
            <w:pPr>
              <w:adjustRightInd w:val="0"/>
              <w:snapToGrid w:val="0"/>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①</w:t>
            </w:r>
            <w:r>
              <w:rPr>
                <w:rFonts w:hint="eastAsia"/>
                <w:snapToGrid w:val="0"/>
                <w:color w:val="000000" w:themeColor="text1"/>
                <w:szCs w:val="21"/>
                <w:lang w:eastAsia="zh-CN"/>
                <w14:textFill>
                  <w14:solidFill>
                    <w14:schemeClr w14:val="tx1"/>
                  </w14:solidFill>
                </w14:textFill>
              </w:rPr>
              <w:t>“</w:t>
            </w:r>
            <w:r>
              <w:rPr>
                <w:snapToGrid w:val="0"/>
                <w:color w:val="000000" w:themeColor="text1"/>
                <w:szCs w:val="21"/>
                <w14:textFill>
                  <w14:solidFill>
                    <w14:schemeClr w14:val="tx1"/>
                  </w14:solidFill>
                </w14:textFill>
              </w:rPr>
              <w:t>三同时</w:t>
            </w:r>
            <w:r>
              <w:rPr>
                <w:rFonts w:hint="eastAsia"/>
                <w:snapToGrid w:val="0"/>
                <w:color w:val="000000" w:themeColor="text1"/>
                <w:szCs w:val="21"/>
                <w:lang w:eastAsia="zh-CN"/>
                <w14:textFill>
                  <w14:solidFill>
                    <w14:schemeClr w14:val="tx1"/>
                  </w14:solidFill>
                </w14:textFill>
              </w:rPr>
              <w:t>”</w:t>
            </w:r>
            <w:r>
              <w:rPr>
                <w:snapToGrid w:val="0"/>
                <w:color w:val="000000" w:themeColor="text1"/>
                <w:szCs w:val="21"/>
                <w14:textFill>
                  <w14:solidFill>
                    <w14:schemeClr w14:val="tx1"/>
                  </w14:solidFill>
                </w14:textFill>
              </w:rPr>
              <w:t>制度</w:t>
            </w:r>
          </w:p>
          <w:p>
            <w:pPr>
              <w:adjustRightInd w:val="0"/>
              <w:snapToGrid w:val="0"/>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②排污许可管理制度</w:t>
            </w:r>
          </w:p>
          <w:p>
            <w:pPr>
              <w:adjustRightInd w:val="0"/>
              <w:snapToGrid w:val="0"/>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③环境报告制度</w:t>
            </w:r>
          </w:p>
          <w:p>
            <w:pPr>
              <w:adjustRightInd w:val="0"/>
              <w:snapToGrid w:val="0"/>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④环境治理设施监管联动机制</w:t>
            </w:r>
          </w:p>
          <w:p>
            <w:pPr>
              <w:adjustRightInd w:val="0"/>
              <w:snapToGrid w:val="0"/>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⑤制定各类环保规章制度</w:t>
            </w:r>
          </w:p>
          <w:p>
            <w:pPr>
              <w:adjustRightInd w:val="0"/>
              <w:snapToGrid w:val="0"/>
              <w:rPr>
                <w:b/>
                <w:bCs/>
                <w:snapToGrid w:val="0"/>
                <w:color w:val="000000" w:themeColor="text1"/>
                <w:szCs w:val="21"/>
                <w14:textFill>
                  <w14:solidFill>
                    <w14:schemeClr w14:val="tx1"/>
                  </w14:solidFill>
                </w14:textFill>
              </w:rPr>
            </w:pPr>
            <w:r>
              <w:rPr>
                <w:b/>
                <w:bCs/>
                <w:snapToGrid w:val="0"/>
                <w:color w:val="000000" w:themeColor="text1"/>
                <w:szCs w:val="21"/>
                <w14:textFill>
                  <w14:solidFill>
                    <w14:schemeClr w14:val="tx1"/>
                  </w14:solidFill>
                </w14:textFill>
              </w:rPr>
              <w:t>②环境监测计划：</w:t>
            </w:r>
          </w:p>
          <w:p>
            <w:pPr>
              <w:adjustRightInd w:val="0"/>
              <w:snapToGrid w:val="0"/>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企业应按照检测计划定期监测。</w:t>
            </w:r>
          </w:p>
          <w:p>
            <w:pPr>
              <w:adjustRightInd w:val="0"/>
              <w:snapToGrid w:val="0"/>
              <w:rPr>
                <w:b/>
                <w:bCs/>
                <w:snapToGrid w:val="0"/>
                <w:color w:val="000000" w:themeColor="text1"/>
                <w:szCs w:val="21"/>
                <w14:textFill>
                  <w14:solidFill>
                    <w14:schemeClr w14:val="tx1"/>
                  </w14:solidFill>
                </w14:textFill>
              </w:rPr>
            </w:pPr>
            <w:r>
              <w:rPr>
                <w:b/>
                <w:bCs/>
                <w:snapToGrid w:val="0"/>
                <w:color w:val="000000" w:themeColor="text1"/>
                <w:szCs w:val="21"/>
                <w14:textFill>
                  <w14:solidFill>
                    <w14:schemeClr w14:val="tx1"/>
                  </w14:solidFill>
                </w14:textFill>
              </w:rPr>
              <w:t>③排污许可证申领</w:t>
            </w:r>
          </w:p>
          <w:p>
            <w:pPr>
              <w:adjustRightInd w:val="0"/>
              <w:snapToGrid w:val="0"/>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项目根据</w:t>
            </w:r>
            <w:r>
              <w:rPr>
                <w:rFonts w:hint="eastAsia"/>
                <w:snapToGrid w:val="0"/>
                <w:color w:val="000000" w:themeColor="text1"/>
                <w:szCs w:val="21"/>
                <w14:textFill>
                  <w14:solidFill>
                    <w14:schemeClr w14:val="tx1"/>
                  </w14:solidFill>
                </w14:textFill>
              </w:rPr>
              <w:t>《</w:t>
            </w:r>
            <w:r>
              <w:rPr>
                <w:snapToGrid w:val="0"/>
                <w:color w:val="000000" w:themeColor="text1"/>
                <w:szCs w:val="21"/>
                <w14:textFill>
                  <w14:solidFill>
                    <w14:schemeClr w14:val="tx1"/>
                  </w14:solidFill>
                </w14:textFill>
              </w:rPr>
              <w:t>固定污染源排污许可分类管理名录</w:t>
            </w:r>
            <w:r>
              <w:rPr>
                <w:rFonts w:hint="eastAsia"/>
                <w:snapToGrid w:val="0"/>
                <w:color w:val="000000" w:themeColor="text1"/>
                <w:szCs w:val="21"/>
                <w:lang w:eastAsia="zh-CN"/>
                <w14:textFill>
                  <w14:solidFill>
                    <w14:schemeClr w14:val="tx1"/>
                  </w14:solidFill>
                </w14:textFill>
              </w:rPr>
              <w:t>（</w:t>
            </w:r>
            <w:r>
              <w:rPr>
                <w:snapToGrid w:val="0"/>
                <w:color w:val="000000" w:themeColor="text1"/>
                <w:szCs w:val="21"/>
                <w14:textFill>
                  <w14:solidFill>
                    <w14:schemeClr w14:val="tx1"/>
                  </w14:solidFill>
                </w14:textFill>
              </w:rPr>
              <w:t>2019版</w:t>
            </w:r>
            <w:r>
              <w:rPr>
                <w:rFonts w:hint="eastAsia"/>
                <w:snapToGrid w:val="0"/>
                <w:color w:val="000000" w:themeColor="text1"/>
                <w:szCs w:val="21"/>
                <w:lang w:eastAsia="zh-CN"/>
                <w14:textFill>
                  <w14:solidFill>
                    <w14:schemeClr w14:val="tx1"/>
                  </w14:solidFill>
                </w14:textFill>
              </w:rPr>
              <w:t>）</w:t>
            </w:r>
            <w:r>
              <w:rPr>
                <w:rFonts w:hint="eastAsia"/>
                <w:snapToGrid w:val="0"/>
                <w:color w:val="000000" w:themeColor="text1"/>
                <w:szCs w:val="21"/>
                <w14:textFill>
                  <w14:solidFill>
                    <w14:schemeClr w14:val="tx1"/>
                  </w14:solidFill>
                </w14:textFill>
              </w:rPr>
              <w:t>》</w:t>
            </w:r>
            <w:r>
              <w:rPr>
                <w:snapToGrid w:val="0"/>
                <w:color w:val="000000" w:themeColor="text1"/>
                <w:szCs w:val="21"/>
                <w14:textFill>
                  <w14:solidFill>
                    <w14:schemeClr w14:val="tx1"/>
                  </w14:solidFill>
                </w14:textFill>
              </w:rPr>
              <w:t>，本项目属于</w:t>
            </w:r>
            <w:r>
              <w:rPr>
                <w:rFonts w:hint="eastAsia"/>
                <w:snapToGrid w:val="0"/>
                <w:color w:val="000000" w:themeColor="text1"/>
                <w:szCs w:val="21"/>
                <w14:textFill>
                  <w14:solidFill>
                    <w14:schemeClr w14:val="tx1"/>
                  </w14:solidFill>
                </w14:textFill>
              </w:rPr>
              <w:t>简化</w:t>
            </w:r>
            <w:r>
              <w:rPr>
                <w:snapToGrid w:val="0"/>
                <w:color w:val="000000" w:themeColor="text1"/>
                <w:szCs w:val="21"/>
                <w14:textFill>
                  <w14:solidFill>
                    <w14:schemeClr w14:val="tx1"/>
                  </w14:solidFill>
                </w14:textFill>
              </w:rPr>
              <w:t>管理。</w:t>
            </w:r>
          </w:p>
          <w:p>
            <w:pPr>
              <w:adjustRightInd w:val="0"/>
              <w:snapToGrid w:val="0"/>
              <w:rPr>
                <w:b/>
                <w:bCs/>
                <w:snapToGrid w:val="0"/>
                <w:color w:val="000000" w:themeColor="text1"/>
                <w:szCs w:val="21"/>
                <w14:textFill>
                  <w14:solidFill>
                    <w14:schemeClr w14:val="tx1"/>
                  </w14:solidFill>
                </w14:textFill>
              </w:rPr>
            </w:pPr>
            <w:r>
              <w:rPr>
                <w:b/>
                <w:bCs/>
                <w:snapToGrid w:val="0"/>
                <w:color w:val="000000" w:themeColor="text1"/>
                <w:szCs w:val="21"/>
                <w14:textFill>
                  <w14:solidFill>
                    <w14:schemeClr w14:val="tx1"/>
                  </w14:solidFill>
                </w14:textFill>
              </w:rPr>
              <w:t>④竣工环境保护验收</w:t>
            </w:r>
          </w:p>
          <w:p>
            <w:pPr>
              <w:adjustRightInd w:val="0"/>
              <w:snapToGrid w:val="0"/>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项目建成后，需按照《建设项目竣工环境保护验收暂行办法》（原国家环境保护部，国环规环评</w:t>
            </w:r>
            <w:r>
              <w:rPr>
                <w:rFonts w:hint="eastAsia"/>
                <w:snapToGrid w:val="0"/>
                <w:color w:val="000000" w:themeColor="text1"/>
                <w:szCs w:val="21"/>
                <w14:textFill>
                  <w14:solidFill>
                    <w14:schemeClr w14:val="tx1"/>
                  </w14:solidFill>
                </w14:textFill>
              </w:rPr>
              <w:t>〔</w:t>
            </w:r>
            <w:r>
              <w:rPr>
                <w:snapToGrid w:val="0"/>
                <w:color w:val="000000" w:themeColor="text1"/>
                <w:szCs w:val="21"/>
                <w14:textFill>
                  <w14:solidFill>
                    <w14:schemeClr w14:val="tx1"/>
                  </w14:solidFill>
                </w14:textFill>
              </w:rPr>
              <w:t>2017</w:t>
            </w:r>
            <w:r>
              <w:rPr>
                <w:rFonts w:hint="eastAsia"/>
                <w:snapToGrid w:val="0"/>
                <w:color w:val="000000" w:themeColor="text1"/>
                <w:szCs w:val="21"/>
                <w14:textFill>
                  <w14:solidFill>
                    <w14:schemeClr w14:val="tx1"/>
                  </w14:solidFill>
                </w14:textFill>
              </w:rPr>
              <w:t>〕</w:t>
            </w:r>
            <w:r>
              <w:rPr>
                <w:snapToGrid w:val="0"/>
                <w:color w:val="000000" w:themeColor="text1"/>
                <w:szCs w:val="21"/>
                <w14:textFill>
                  <w14:solidFill>
                    <w14:schemeClr w14:val="tx1"/>
                  </w14:solidFill>
                </w14:textFill>
              </w:rPr>
              <w:t>4号）的要求，及时开展项目竣工环境保护验收工作。</w:t>
            </w: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p>
            <w:pPr>
              <w:pStyle w:val="2"/>
              <w:rPr>
                <w:snapToGrid w:val="0"/>
                <w:color w:val="000000" w:themeColor="text1"/>
                <w:szCs w:val="21"/>
                <w14:textFill>
                  <w14:solidFill>
                    <w14:schemeClr w14:val="tx1"/>
                  </w14:solidFill>
                </w14:textFill>
              </w:rPr>
            </w:pPr>
          </w:p>
        </w:tc>
      </w:tr>
    </w:tbl>
    <w:p>
      <w:pPr>
        <w:pStyle w:val="29"/>
        <w:adjustRightInd w:val="0"/>
        <w:snapToGrid w:val="0"/>
        <w:spacing w:before="0" w:beforeAutospacing="0" w:after="0" w:afterAutospacing="0"/>
        <w:outlineLvl w:val="0"/>
        <w:rPr>
          <w:rFonts w:ascii="黑体" w:hAnsi="黑体" w:eastAsia="黑体"/>
          <w:snapToGrid w:val="0"/>
          <w:sz w:val="30"/>
          <w:szCs w:val="30"/>
        </w:rPr>
      </w:pPr>
      <w:r>
        <w:rPr>
          <w:snapToGrid w:val="0"/>
        </w:rPr>
        <w:br w:type="page"/>
      </w:r>
      <w:r>
        <w:rPr>
          <w:rFonts w:hint="eastAsia" w:ascii="黑体" w:hAnsi="黑体" w:eastAsia="黑体"/>
          <w:snapToGrid w:val="0"/>
          <w:sz w:val="30"/>
          <w:szCs w:val="30"/>
        </w:rPr>
        <w:t>六、结论</w:t>
      </w:r>
    </w:p>
    <w:tbl>
      <w:tblPr>
        <w:tblStyle w:val="3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bCs/>
                <w:snapToGrid w:val="0"/>
                <w:sz w:val="24"/>
                <w:szCs w:val="24"/>
                <w:lang w:bidi="zh-CN"/>
              </w:rPr>
            </w:pPr>
            <w:r>
              <w:rPr>
                <w:rFonts w:hint="eastAsia"/>
                <w:bCs/>
                <w:snapToGrid w:val="0"/>
                <w:sz w:val="24"/>
                <w:szCs w:val="24"/>
                <w:lang w:bidi="zh-CN"/>
              </w:rPr>
              <w:t>本项目土地手续完备，项目类型及其选址、布局、规模符合相关产业政策、环境保护法律法规和相关法定规划要求；所在区域环境质量不达标，区域环境治理措施能满足区域环境质量改善目标管理要求；采取的污染防治措施合理、有效，经预测项目排放的各类污染物能达到国家和地方排放标准；污染物排放总量可在区域内平衡解决。故本项目在落实本报告表提出的各项环保措施要求，严格执行环保“三同时”的前提下，从环保角度分析，本项目建设具有环境可行性。</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ascii="宋体" w:cs="宋体"/>
                <w:sz w:val="24"/>
              </w:rPr>
            </w:pPr>
            <w:r>
              <w:rPr>
                <w:rFonts w:hint="eastAsia"/>
                <w:bCs/>
                <w:snapToGrid w:val="0"/>
                <w:sz w:val="24"/>
                <w:szCs w:val="24"/>
                <w:lang w:bidi="zh-CN"/>
              </w:rPr>
              <w:t>上述评价结论是根据建设单位提供的生产规模、工艺流程、生产设备布局、原辅材料用量及与此对应的污染防治措施基础上得出的，如果生产品种、规模、工艺流程、生产设备布局和污染防治设施等发生重大变化，企业应按照环保部门要求另行申报。</w:t>
            </w:r>
          </w:p>
        </w:tc>
      </w:tr>
    </w:tbl>
    <w:p>
      <w:pPr>
        <w:rPr>
          <w:color w:val="000000"/>
          <w:szCs w:val="21"/>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tbl>
      <w:tblPr>
        <w:tblStyle w:val="33"/>
        <w:tblW w:w="886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8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756" w:hRule="atLeast"/>
          <w:jc w:val="center"/>
        </w:trPr>
        <w:tc>
          <w:tcPr>
            <w:tcW w:w="8865" w:type="dxa"/>
          </w:tcPr>
          <w:p>
            <w:pPr>
              <w:rPr>
                <w:color w:val="000000"/>
                <w:szCs w:val="21"/>
              </w:rPr>
            </w:pPr>
            <w:r>
              <w:rPr>
                <w:color w:val="000000"/>
                <w:szCs w:val="21"/>
              </w:rPr>
              <w:t>预审意见：</w:t>
            </w:r>
          </w:p>
          <w:p>
            <w:pPr>
              <w:rPr>
                <w:color w:val="000000"/>
                <w:szCs w:val="21"/>
              </w:rPr>
            </w:pPr>
          </w:p>
          <w:p>
            <w:pPr>
              <w:pStyle w:val="90"/>
              <w:rPr>
                <w:rFonts w:ascii="Times New Roman" w:hAnsi="Times New Roman"/>
                <w:color w:val="000000"/>
                <w:sz w:val="21"/>
                <w:szCs w:val="21"/>
              </w:rPr>
            </w:pPr>
          </w:p>
          <w:p>
            <w:pPr>
              <w:rPr>
                <w:color w:val="000000"/>
                <w:szCs w:val="21"/>
              </w:rPr>
            </w:pPr>
          </w:p>
          <w:p>
            <w:pPr>
              <w:rPr>
                <w:color w:val="000000"/>
                <w:szCs w:val="21"/>
              </w:rPr>
            </w:pPr>
          </w:p>
          <w:p>
            <w:pPr>
              <w:rPr>
                <w:color w:val="000000"/>
                <w:szCs w:val="21"/>
              </w:rPr>
            </w:pPr>
          </w:p>
          <w:p>
            <w:pPr>
              <w:pStyle w:val="91"/>
              <w:spacing w:before="0"/>
              <w:rPr>
                <w:color w:val="000000"/>
                <w:sz w:val="21"/>
                <w:szCs w:val="21"/>
              </w:rPr>
            </w:pPr>
          </w:p>
          <w:p>
            <w:pPr>
              <w:pStyle w:val="91"/>
              <w:rPr>
                <w:color w:val="000000"/>
                <w:sz w:val="21"/>
                <w:szCs w:val="21"/>
              </w:rPr>
            </w:pPr>
          </w:p>
          <w:p>
            <w:pPr>
              <w:rPr>
                <w:color w:val="000000"/>
                <w:szCs w:val="21"/>
              </w:rPr>
            </w:pPr>
          </w:p>
          <w:p>
            <w:pPr>
              <w:pStyle w:val="25"/>
              <w:rPr>
                <w:color w:val="000000"/>
                <w:szCs w:val="21"/>
              </w:rPr>
            </w:pPr>
          </w:p>
          <w:p>
            <w:pPr>
              <w:pStyle w:val="91"/>
              <w:rPr>
                <w:color w:val="000000"/>
                <w:sz w:val="21"/>
                <w:szCs w:val="21"/>
              </w:rPr>
            </w:pPr>
          </w:p>
          <w:p>
            <w:pPr>
              <w:rPr>
                <w:color w:val="000000"/>
                <w:szCs w:val="21"/>
              </w:rPr>
            </w:pPr>
          </w:p>
          <w:p>
            <w:pPr>
              <w:rPr>
                <w:color w:val="000000"/>
                <w:szCs w:val="21"/>
              </w:rPr>
            </w:pPr>
          </w:p>
          <w:p>
            <w:pPr>
              <w:pStyle w:val="16"/>
              <w:rPr>
                <w:color w:val="000000"/>
                <w:sz w:val="21"/>
                <w:szCs w:val="21"/>
              </w:rPr>
            </w:pPr>
          </w:p>
          <w:p>
            <w:pPr>
              <w:pStyle w:val="19"/>
              <w:numPr>
                <w:ilvl w:val="0"/>
                <w:numId w:val="0"/>
              </w:numPr>
              <w:ind w:left="2040"/>
              <w:rPr>
                <w:color w:val="000000"/>
                <w:szCs w:val="21"/>
              </w:rPr>
            </w:pPr>
          </w:p>
          <w:p>
            <w:pPr>
              <w:pStyle w:val="91"/>
              <w:rPr>
                <w:color w:val="000000"/>
                <w:sz w:val="21"/>
                <w:szCs w:val="21"/>
              </w:rPr>
            </w:pPr>
          </w:p>
          <w:p>
            <w:pPr>
              <w:rPr>
                <w:color w:val="000000"/>
                <w:szCs w:val="21"/>
              </w:rPr>
            </w:pPr>
          </w:p>
          <w:p>
            <w:pPr>
              <w:pStyle w:val="91"/>
              <w:rPr>
                <w:color w:val="000000"/>
                <w:sz w:val="21"/>
                <w:szCs w:val="21"/>
              </w:rPr>
            </w:pPr>
          </w:p>
          <w:p>
            <w:pPr>
              <w:ind w:firstLine="4956" w:firstLineChars="2360"/>
              <w:rPr>
                <w:color w:val="000000"/>
                <w:szCs w:val="21"/>
              </w:rPr>
            </w:pPr>
            <w:r>
              <w:rPr>
                <w:color w:val="000000"/>
                <w:szCs w:val="21"/>
              </w:rPr>
              <w:t>公章</w:t>
            </w:r>
          </w:p>
          <w:p>
            <w:pPr>
              <w:tabs>
                <w:tab w:val="left" w:pos="6149"/>
              </w:tabs>
              <w:ind w:firstLine="178" w:firstLineChars="85"/>
              <w:rPr>
                <w:color w:val="000000"/>
                <w:szCs w:val="21"/>
              </w:rPr>
            </w:pPr>
            <w:r>
              <w:rPr>
                <w:color w:val="000000"/>
                <w:szCs w:val="21"/>
              </w:rPr>
              <w:t>经办人：年月日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695" w:hRule="atLeast"/>
          <w:jc w:val="center"/>
        </w:trPr>
        <w:tc>
          <w:tcPr>
            <w:tcW w:w="8865" w:type="dxa"/>
          </w:tcPr>
          <w:p>
            <w:pPr>
              <w:rPr>
                <w:color w:val="000000"/>
                <w:szCs w:val="21"/>
              </w:rPr>
            </w:pPr>
            <w:r>
              <w:rPr>
                <w:color w:val="000000"/>
                <w:szCs w:val="21"/>
              </w:rPr>
              <w:t>下一级环境保护主管部门审查意见：</w:t>
            </w:r>
          </w:p>
          <w:p>
            <w:pPr>
              <w:rPr>
                <w:color w:val="000000"/>
                <w:szCs w:val="21"/>
              </w:rPr>
            </w:pPr>
          </w:p>
          <w:p>
            <w:pPr>
              <w:rPr>
                <w:color w:val="000000"/>
                <w:szCs w:val="21"/>
              </w:rPr>
            </w:pPr>
          </w:p>
          <w:p>
            <w:pPr>
              <w:pStyle w:val="91"/>
              <w:rPr>
                <w:color w:val="000000"/>
                <w:sz w:val="21"/>
                <w:szCs w:val="21"/>
              </w:rPr>
            </w:pPr>
          </w:p>
          <w:p>
            <w:pPr>
              <w:pStyle w:val="91"/>
              <w:rPr>
                <w:color w:val="000000"/>
                <w:sz w:val="21"/>
                <w:szCs w:val="21"/>
              </w:rPr>
            </w:pPr>
          </w:p>
          <w:p>
            <w:pPr>
              <w:rPr>
                <w:color w:val="000000"/>
                <w:szCs w:val="21"/>
              </w:rPr>
            </w:pPr>
          </w:p>
          <w:p>
            <w:pPr>
              <w:rPr>
                <w:color w:val="000000"/>
                <w:szCs w:val="21"/>
              </w:rPr>
            </w:pPr>
          </w:p>
          <w:p>
            <w:pPr>
              <w:rPr>
                <w:color w:val="000000"/>
                <w:szCs w:val="21"/>
              </w:rPr>
            </w:pPr>
          </w:p>
          <w:p>
            <w:pPr>
              <w:rPr>
                <w:color w:val="000000"/>
                <w:szCs w:val="21"/>
              </w:rPr>
            </w:pPr>
          </w:p>
          <w:p>
            <w:pPr>
              <w:pStyle w:val="91"/>
              <w:rPr>
                <w:color w:val="000000"/>
                <w:sz w:val="21"/>
                <w:szCs w:val="21"/>
              </w:rPr>
            </w:pPr>
          </w:p>
          <w:p>
            <w:pPr>
              <w:rPr>
                <w:color w:val="000000"/>
                <w:szCs w:val="21"/>
              </w:rPr>
            </w:pPr>
          </w:p>
          <w:p>
            <w:pPr>
              <w:pStyle w:val="25"/>
              <w:rPr>
                <w:color w:val="000000"/>
                <w:szCs w:val="21"/>
              </w:rPr>
            </w:pPr>
          </w:p>
          <w:p>
            <w:pPr>
              <w:pStyle w:val="26"/>
              <w:rPr>
                <w:color w:val="000000"/>
                <w:szCs w:val="21"/>
              </w:rPr>
            </w:pPr>
          </w:p>
          <w:p>
            <w:pPr>
              <w:rPr>
                <w:color w:val="000000"/>
                <w:szCs w:val="21"/>
              </w:rPr>
            </w:pPr>
          </w:p>
          <w:p>
            <w:pPr>
              <w:rPr>
                <w:color w:val="000000"/>
                <w:szCs w:val="21"/>
              </w:rPr>
            </w:pPr>
          </w:p>
          <w:p>
            <w:pPr>
              <w:rPr>
                <w:color w:val="000000"/>
                <w:szCs w:val="21"/>
              </w:rPr>
            </w:pPr>
          </w:p>
          <w:p>
            <w:pPr>
              <w:rPr>
                <w:color w:val="000000"/>
                <w:szCs w:val="21"/>
              </w:rPr>
            </w:pPr>
          </w:p>
          <w:p>
            <w:pPr>
              <w:rPr>
                <w:color w:val="000000"/>
                <w:szCs w:val="21"/>
              </w:rPr>
            </w:pPr>
          </w:p>
          <w:p>
            <w:pPr>
              <w:rPr>
                <w:color w:val="000000"/>
                <w:szCs w:val="21"/>
              </w:rPr>
            </w:pPr>
          </w:p>
          <w:p>
            <w:pPr>
              <w:rPr>
                <w:color w:val="000000"/>
                <w:szCs w:val="21"/>
              </w:rPr>
            </w:pPr>
          </w:p>
          <w:p>
            <w:pPr>
              <w:ind w:firstLine="4935" w:firstLineChars="2350"/>
              <w:rPr>
                <w:color w:val="000000"/>
                <w:szCs w:val="21"/>
              </w:rPr>
            </w:pPr>
            <w:r>
              <w:rPr>
                <w:color w:val="000000"/>
                <w:szCs w:val="21"/>
              </w:rPr>
              <w:t>公章</w:t>
            </w:r>
          </w:p>
          <w:p>
            <w:pPr>
              <w:tabs>
                <w:tab w:val="left" w:pos="6149"/>
              </w:tabs>
              <w:ind w:firstLine="210" w:firstLineChars="100"/>
              <w:rPr>
                <w:color w:val="000000"/>
                <w:szCs w:val="21"/>
              </w:rPr>
            </w:pPr>
            <w:r>
              <w:rPr>
                <w:color w:val="000000"/>
                <w:szCs w:val="21"/>
              </w:rPr>
              <w:t>经办人：年月日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2141" w:hRule="atLeast"/>
          <w:jc w:val="center"/>
        </w:trPr>
        <w:tc>
          <w:tcPr>
            <w:tcW w:w="8865" w:type="dxa"/>
          </w:tcPr>
          <w:p>
            <w:pPr>
              <w:spacing w:line="360" w:lineRule="auto"/>
              <w:rPr>
                <w:color w:val="000000"/>
                <w:szCs w:val="21"/>
              </w:rPr>
            </w:pPr>
            <w:r>
              <w:rPr>
                <w:color w:val="000000"/>
                <w:szCs w:val="21"/>
              </w:rPr>
              <w:t>审批意见：</w:t>
            </w:r>
          </w:p>
          <w:p>
            <w:pPr>
              <w:spacing w:line="360" w:lineRule="auto"/>
              <w:rPr>
                <w:color w:val="000000"/>
                <w:szCs w:val="21"/>
              </w:rPr>
            </w:pPr>
          </w:p>
          <w:p>
            <w:pPr>
              <w:pStyle w:val="91"/>
              <w:rPr>
                <w:color w:val="000000"/>
                <w:sz w:val="21"/>
                <w:szCs w:val="21"/>
              </w:rPr>
            </w:pPr>
          </w:p>
          <w:p>
            <w:pPr>
              <w:pStyle w:val="91"/>
              <w:rPr>
                <w:color w:val="000000"/>
                <w:sz w:val="21"/>
                <w:szCs w:val="21"/>
              </w:rPr>
            </w:pPr>
          </w:p>
          <w:p>
            <w:pPr>
              <w:pStyle w:val="91"/>
              <w:rPr>
                <w:color w:val="000000"/>
                <w:sz w:val="21"/>
                <w:szCs w:val="21"/>
              </w:rPr>
            </w:pPr>
          </w:p>
          <w:p>
            <w:pPr>
              <w:pStyle w:val="91"/>
              <w:rPr>
                <w:color w:val="000000"/>
                <w:sz w:val="21"/>
                <w:szCs w:val="21"/>
              </w:rPr>
            </w:pPr>
          </w:p>
          <w:p>
            <w:pPr>
              <w:spacing w:line="360" w:lineRule="auto"/>
              <w:rPr>
                <w:color w:val="000000"/>
                <w:szCs w:val="21"/>
              </w:rPr>
            </w:pPr>
          </w:p>
          <w:p>
            <w:pPr>
              <w:pStyle w:val="91"/>
              <w:rPr>
                <w:color w:val="000000"/>
                <w:sz w:val="21"/>
                <w:szCs w:val="21"/>
              </w:rPr>
            </w:pPr>
          </w:p>
          <w:p>
            <w:pPr>
              <w:pStyle w:val="91"/>
              <w:rPr>
                <w:color w:val="000000"/>
                <w:sz w:val="21"/>
                <w:szCs w:val="21"/>
              </w:rPr>
            </w:pPr>
          </w:p>
          <w:p>
            <w:pPr>
              <w:spacing w:line="360" w:lineRule="auto"/>
              <w:rPr>
                <w:color w:val="000000"/>
                <w:szCs w:val="21"/>
              </w:rPr>
            </w:pPr>
          </w:p>
          <w:p>
            <w:pPr>
              <w:pStyle w:val="90"/>
              <w:spacing w:line="360" w:lineRule="auto"/>
              <w:rPr>
                <w:rFonts w:ascii="Times New Roman" w:hAnsi="Times New Roman"/>
                <w:color w:val="000000"/>
                <w:sz w:val="21"/>
                <w:szCs w:val="21"/>
              </w:rPr>
            </w:pPr>
          </w:p>
          <w:p>
            <w:pPr>
              <w:spacing w:line="360" w:lineRule="auto"/>
              <w:rPr>
                <w:color w:val="000000"/>
                <w:szCs w:val="21"/>
              </w:rPr>
            </w:pPr>
          </w:p>
          <w:p>
            <w:pPr>
              <w:spacing w:line="360" w:lineRule="auto"/>
              <w:rPr>
                <w:color w:val="000000"/>
                <w:szCs w:val="21"/>
              </w:rPr>
            </w:pPr>
          </w:p>
          <w:p>
            <w:pPr>
              <w:spacing w:line="360" w:lineRule="auto"/>
              <w:rPr>
                <w:color w:val="000000"/>
                <w:szCs w:val="21"/>
              </w:rPr>
            </w:pPr>
          </w:p>
          <w:p>
            <w:pPr>
              <w:spacing w:line="360" w:lineRule="auto"/>
              <w:rPr>
                <w:color w:val="000000"/>
                <w:szCs w:val="21"/>
              </w:rPr>
            </w:pPr>
          </w:p>
          <w:p>
            <w:pPr>
              <w:spacing w:line="360" w:lineRule="auto"/>
              <w:rPr>
                <w:color w:val="000000"/>
                <w:szCs w:val="21"/>
              </w:rPr>
            </w:pPr>
          </w:p>
          <w:p>
            <w:pPr>
              <w:spacing w:line="360" w:lineRule="auto"/>
              <w:rPr>
                <w:color w:val="000000"/>
                <w:szCs w:val="21"/>
              </w:rPr>
            </w:pPr>
          </w:p>
          <w:p>
            <w:pPr>
              <w:pStyle w:val="16"/>
              <w:rPr>
                <w:color w:val="000000"/>
                <w:sz w:val="21"/>
                <w:szCs w:val="21"/>
              </w:rPr>
            </w:pPr>
          </w:p>
          <w:p>
            <w:pPr>
              <w:pStyle w:val="19"/>
              <w:numPr>
                <w:ilvl w:val="0"/>
                <w:numId w:val="0"/>
              </w:numPr>
              <w:rPr>
                <w:color w:val="000000"/>
                <w:szCs w:val="21"/>
              </w:rPr>
            </w:pPr>
          </w:p>
          <w:p>
            <w:pPr>
              <w:pStyle w:val="19"/>
              <w:numPr>
                <w:ilvl w:val="0"/>
                <w:numId w:val="0"/>
              </w:numPr>
              <w:rPr>
                <w:color w:val="000000"/>
                <w:szCs w:val="21"/>
              </w:rPr>
            </w:pPr>
          </w:p>
          <w:p>
            <w:pPr>
              <w:pStyle w:val="19"/>
              <w:numPr>
                <w:ilvl w:val="0"/>
                <w:numId w:val="0"/>
              </w:numPr>
              <w:rPr>
                <w:color w:val="000000"/>
                <w:szCs w:val="21"/>
              </w:rPr>
            </w:pPr>
          </w:p>
          <w:p>
            <w:pPr>
              <w:pStyle w:val="19"/>
              <w:numPr>
                <w:ilvl w:val="0"/>
                <w:numId w:val="0"/>
              </w:numPr>
              <w:rPr>
                <w:color w:val="000000"/>
                <w:szCs w:val="21"/>
              </w:rPr>
            </w:pPr>
          </w:p>
          <w:p>
            <w:pPr>
              <w:pStyle w:val="19"/>
              <w:numPr>
                <w:ilvl w:val="0"/>
                <w:numId w:val="0"/>
              </w:numPr>
              <w:rPr>
                <w:color w:val="000000"/>
                <w:szCs w:val="21"/>
              </w:rPr>
            </w:pPr>
          </w:p>
          <w:p>
            <w:pPr>
              <w:spacing w:line="360" w:lineRule="auto"/>
              <w:rPr>
                <w:color w:val="000000"/>
                <w:szCs w:val="21"/>
              </w:rPr>
            </w:pPr>
          </w:p>
          <w:p>
            <w:pPr>
              <w:spacing w:line="360" w:lineRule="auto"/>
              <w:rPr>
                <w:color w:val="000000"/>
                <w:szCs w:val="21"/>
              </w:rPr>
            </w:pPr>
          </w:p>
          <w:p>
            <w:pPr>
              <w:spacing w:line="360" w:lineRule="auto"/>
              <w:rPr>
                <w:color w:val="000000"/>
                <w:szCs w:val="21"/>
              </w:rPr>
            </w:pPr>
          </w:p>
          <w:p>
            <w:pPr>
              <w:spacing w:line="360" w:lineRule="auto"/>
              <w:rPr>
                <w:color w:val="000000"/>
                <w:szCs w:val="21"/>
              </w:rPr>
            </w:pPr>
          </w:p>
          <w:p>
            <w:pPr>
              <w:spacing w:line="360" w:lineRule="auto"/>
              <w:rPr>
                <w:color w:val="000000"/>
                <w:szCs w:val="21"/>
              </w:rPr>
            </w:pPr>
          </w:p>
          <w:p>
            <w:pPr>
              <w:spacing w:line="360" w:lineRule="auto"/>
              <w:rPr>
                <w:color w:val="000000"/>
                <w:szCs w:val="21"/>
              </w:rPr>
            </w:pPr>
          </w:p>
          <w:p>
            <w:pPr>
              <w:spacing w:line="360" w:lineRule="auto"/>
              <w:rPr>
                <w:color w:val="000000"/>
                <w:szCs w:val="21"/>
              </w:rPr>
            </w:pPr>
          </w:p>
          <w:p>
            <w:pPr>
              <w:spacing w:line="360" w:lineRule="auto"/>
              <w:rPr>
                <w:color w:val="000000"/>
                <w:szCs w:val="21"/>
              </w:rPr>
            </w:pPr>
          </w:p>
          <w:p>
            <w:pPr>
              <w:spacing w:line="360" w:lineRule="auto"/>
              <w:ind w:firstLine="4924" w:firstLineChars="2345"/>
              <w:rPr>
                <w:color w:val="000000"/>
                <w:szCs w:val="21"/>
              </w:rPr>
            </w:pPr>
            <w:r>
              <w:rPr>
                <w:color w:val="000000"/>
                <w:szCs w:val="21"/>
              </w:rPr>
              <w:t>公章</w:t>
            </w:r>
          </w:p>
          <w:p>
            <w:pPr>
              <w:spacing w:line="360" w:lineRule="auto"/>
              <w:ind w:firstLine="147" w:firstLineChars="70"/>
              <w:rPr>
                <w:color w:val="000000"/>
                <w:szCs w:val="21"/>
              </w:rPr>
            </w:pPr>
            <w:r>
              <w:rPr>
                <w:color w:val="000000"/>
                <w:szCs w:val="21"/>
              </w:rPr>
              <w:t>经办人：年月日</w:t>
            </w:r>
          </w:p>
          <w:p>
            <w:pPr>
              <w:spacing w:line="360" w:lineRule="auto"/>
              <w:ind w:firstLine="147" w:firstLineChars="70"/>
              <w:rPr>
                <w:color w:val="000000"/>
                <w:szCs w:val="21"/>
              </w:rPr>
            </w:pPr>
          </w:p>
        </w:tc>
      </w:tr>
    </w:tbl>
    <w:p>
      <w:pPr>
        <w:rPr>
          <w:rFonts w:ascii="宋体"/>
        </w:rPr>
        <w:sectPr>
          <w:footerReference r:id="rId6" w:type="default"/>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29"/>
        <w:adjustRightInd w:val="0"/>
        <w:snapToGrid w:val="0"/>
        <w:spacing w:before="0" w:beforeAutospacing="0" w:after="0" w:afterAutospacing="0"/>
        <w:outlineLvl w:val="0"/>
        <w:rPr>
          <w:rFonts w:ascii="黑体" w:hAnsi="黑体" w:eastAsia="黑体"/>
          <w:snapToGrid w:val="0"/>
          <w:sz w:val="32"/>
          <w:szCs w:val="32"/>
        </w:rPr>
      </w:pPr>
      <w:r>
        <w:rPr>
          <w:rFonts w:hint="eastAsia" w:ascii="黑体" w:hAnsi="黑体" w:eastAsia="黑体"/>
          <w:snapToGrid w:val="0"/>
          <w:sz w:val="32"/>
          <w:szCs w:val="32"/>
        </w:rPr>
        <w:t>附表</w:t>
      </w:r>
    </w:p>
    <w:p>
      <w:pPr>
        <w:pStyle w:val="68"/>
        <w:adjustRightInd w:val="0"/>
        <w:spacing w:before="0" w:after="0" w:line="240" w:lineRule="auto"/>
        <w:ind w:right="0"/>
        <w:rPr>
          <w:b/>
          <w:bCs/>
          <w:color w:val="auto"/>
        </w:rPr>
      </w:pPr>
      <w:r>
        <w:rPr>
          <w:rFonts w:hint="eastAsia"/>
          <w:b/>
          <w:bCs/>
          <w:color w:val="auto"/>
        </w:rPr>
        <w:t>建设项目污染物排放量汇总表</w:t>
      </w:r>
    </w:p>
    <w:tbl>
      <w:tblPr>
        <w:tblStyle w:val="33"/>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36"/>
        <w:gridCol w:w="1493"/>
        <w:gridCol w:w="1677"/>
        <w:gridCol w:w="1294"/>
        <w:gridCol w:w="1536"/>
        <w:gridCol w:w="1536"/>
        <w:gridCol w:w="1464"/>
        <w:gridCol w:w="1735"/>
        <w:gridCol w:w="132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tcBorders>
              <w:tl2br w:val="single" w:color="auto" w:sz="4" w:space="0"/>
            </w:tcBorders>
            <w:tcMar>
              <w:left w:w="28" w:type="dxa"/>
              <w:right w:w="28" w:type="dxa"/>
            </w:tcMar>
            <w:vAlign w:val="center"/>
          </w:tcPr>
          <w:p>
            <w:pPr>
              <w:adjustRightInd w:val="0"/>
              <w:snapToGrid w:val="0"/>
              <w:spacing w:beforeLines="0" w:afterLines="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项目</w:t>
            </w:r>
          </w:p>
          <w:p>
            <w:pPr>
              <w:adjustRightInd w:val="0"/>
              <w:snapToGrid w:val="0"/>
              <w:spacing w:beforeLines="0" w:afterLines="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分类</w:t>
            </w:r>
          </w:p>
        </w:tc>
        <w:tc>
          <w:tcPr>
            <w:tcW w:w="1493" w:type="dxa"/>
            <w:tcMar>
              <w:left w:w="28" w:type="dxa"/>
              <w:right w:w="28" w:type="dxa"/>
            </w:tcMar>
            <w:vAlign w:val="center"/>
          </w:tcPr>
          <w:p>
            <w:pPr>
              <w:adjustRightInd w:val="0"/>
              <w:snapToGrid w:val="0"/>
              <w:spacing w:beforeLines="0" w:afterLines="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污染物名称</w:t>
            </w:r>
          </w:p>
        </w:tc>
        <w:tc>
          <w:tcPr>
            <w:tcW w:w="1677" w:type="dxa"/>
            <w:tcMar>
              <w:left w:w="28" w:type="dxa"/>
              <w:right w:w="28" w:type="dxa"/>
            </w:tcMar>
            <w:vAlign w:val="center"/>
          </w:tcPr>
          <w:p>
            <w:pPr>
              <w:adjustRightInd w:val="0"/>
              <w:snapToGrid w:val="0"/>
              <w:spacing w:beforeLines="0" w:afterLines="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现有工程排放量（固体废物产生量）</w:t>
            </w:r>
            <w:r>
              <w:rPr>
                <w:rFonts w:hint="default" w:ascii="Times New Roman" w:hAnsi="Times New Roman" w:eastAsia="宋体" w:cs="Times New Roman"/>
                <w:b/>
                <w:bCs/>
                <w:szCs w:val="21"/>
              </w:rPr>
              <w:fldChar w:fldCharType="begin"/>
            </w:r>
            <w:r>
              <w:rPr>
                <w:rFonts w:hint="default" w:ascii="Times New Roman" w:hAnsi="Times New Roman" w:eastAsia="宋体" w:cs="Times New Roman"/>
                <w:b/>
                <w:bCs/>
                <w:szCs w:val="21"/>
              </w:rPr>
              <w:instrText xml:space="preserve"> = 1 \* GB3 \* MERGEFORMAT </w:instrText>
            </w:r>
            <w:r>
              <w:rPr>
                <w:rFonts w:hint="default" w:ascii="Times New Roman" w:hAnsi="Times New Roman" w:eastAsia="宋体" w:cs="Times New Roman"/>
                <w:b/>
                <w:bCs/>
                <w:szCs w:val="21"/>
              </w:rPr>
              <w:fldChar w:fldCharType="separate"/>
            </w:r>
            <w:r>
              <w:rPr>
                <w:rFonts w:hint="default" w:ascii="Times New Roman" w:hAnsi="Times New Roman" w:eastAsia="宋体" w:cs="Times New Roman"/>
                <w:b/>
                <w:bCs/>
                <w:szCs w:val="21"/>
              </w:rPr>
              <w:t>①</w:t>
            </w:r>
            <w:r>
              <w:rPr>
                <w:rFonts w:hint="default" w:ascii="Times New Roman" w:hAnsi="Times New Roman" w:eastAsia="宋体" w:cs="Times New Roman"/>
                <w:b/>
                <w:bCs/>
                <w:szCs w:val="21"/>
              </w:rPr>
              <w:fldChar w:fldCharType="end"/>
            </w:r>
          </w:p>
        </w:tc>
        <w:tc>
          <w:tcPr>
            <w:tcW w:w="1294" w:type="dxa"/>
            <w:tcMar>
              <w:left w:w="28" w:type="dxa"/>
              <w:right w:w="28" w:type="dxa"/>
            </w:tcMar>
            <w:vAlign w:val="center"/>
          </w:tcPr>
          <w:p>
            <w:pPr>
              <w:adjustRightInd w:val="0"/>
              <w:snapToGrid w:val="0"/>
              <w:spacing w:beforeLines="0" w:afterLines="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现有工程许可排放量</w:t>
            </w:r>
          </w:p>
          <w:p>
            <w:pPr>
              <w:adjustRightInd w:val="0"/>
              <w:snapToGrid w:val="0"/>
              <w:spacing w:beforeLines="0" w:afterLines="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fldChar w:fldCharType="begin"/>
            </w:r>
            <w:r>
              <w:rPr>
                <w:rFonts w:hint="default" w:ascii="Times New Roman" w:hAnsi="Times New Roman" w:eastAsia="宋体" w:cs="Times New Roman"/>
                <w:b/>
                <w:bCs/>
                <w:szCs w:val="21"/>
              </w:rPr>
              <w:instrText xml:space="preserve"> = 2 \* GB3 \* MERGEFORMAT </w:instrText>
            </w:r>
            <w:r>
              <w:rPr>
                <w:rFonts w:hint="default" w:ascii="Times New Roman" w:hAnsi="Times New Roman" w:eastAsia="宋体" w:cs="Times New Roman"/>
                <w:b/>
                <w:bCs/>
                <w:szCs w:val="21"/>
              </w:rPr>
              <w:fldChar w:fldCharType="separate"/>
            </w:r>
            <w:r>
              <w:rPr>
                <w:rFonts w:hint="default" w:ascii="Times New Roman" w:hAnsi="Times New Roman" w:eastAsia="宋体" w:cs="Times New Roman"/>
                <w:b/>
                <w:bCs/>
                <w:szCs w:val="21"/>
              </w:rPr>
              <w:t>②</w:t>
            </w:r>
            <w:r>
              <w:rPr>
                <w:rFonts w:hint="default" w:ascii="Times New Roman" w:hAnsi="Times New Roman" w:eastAsia="宋体" w:cs="Times New Roman"/>
                <w:b/>
                <w:bCs/>
                <w:szCs w:val="21"/>
              </w:rPr>
              <w:fldChar w:fldCharType="end"/>
            </w:r>
          </w:p>
        </w:tc>
        <w:tc>
          <w:tcPr>
            <w:tcW w:w="1536" w:type="dxa"/>
            <w:tcMar>
              <w:left w:w="28" w:type="dxa"/>
              <w:right w:w="28" w:type="dxa"/>
            </w:tcMar>
            <w:vAlign w:val="center"/>
          </w:tcPr>
          <w:p>
            <w:pPr>
              <w:adjustRightInd w:val="0"/>
              <w:snapToGrid w:val="0"/>
              <w:spacing w:beforeLines="0" w:afterLines="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在建工程排放量（固体废物产生量）</w:t>
            </w:r>
            <w:r>
              <w:rPr>
                <w:rFonts w:hint="default" w:ascii="Times New Roman" w:hAnsi="Times New Roman" w:eastAsia="宋体" w:cs="Times New Roman"/>
                <w:b/>
                <w:bCs/>
                <w:szCs w:val="21"/>
              </w:rPr>
              <w:fldChar w:fldCharType="begin"/>
            </w:r>
            <w:r>
              <w:rPr>
                <w:rFonts w:hint="default" w:ascii="Times New Roman" w:hAnsi="Times New Roman" w:eastAsia="宋体" w:cs="Times New Roman"/>
                <w:b/>
                <w:bCs/>
                <w:szCs w:val="21"/>
              </w:rPr>
              <w:instrText xml:space="preserve"> = 3 \* GB3 \* MERGEFORMAT </w:instrText>
            </w:r>
            <w:r>
              <w:rPr>
                <w:rFonts w:hint="default" w:ascii="Times New Roman" w:hAnsi="Times New Roman" w:eastAsia="宋体" w:cs="Times New Roman"/>
                <w:b/>
                <w:bCs/>
                <w:szCs w:val="21"/>
              </w:rPr>
              <w:fldChar w:fldCharType="separate"/>
            </w:r>
            <w:r>
              <w:rPr>
                <w:rFonts w:hint="default" w:ascii="Times New Roman" w:hAnsi="Times New Roman" w:eastAsia="宋体" w:cs="Times New Roman"/>
                <w:b/>
                <w:bCs/>
                <w:szCs w:val="21"/>
              </w:rPr>
              <w:t>③</w:t>
            </w:r>
            <w:r>
              <w:rPr>
                <w:rFonts w:hint="default" w:ascii="Times New Roman" w:hAnsi="Times New Roman" w:eastAsia="宋体" w:cs="Times New Roman"/>
                <w:b/>
                <w:bCs/>
                <w:szCs w:val="21"/>
              </w:rPr>
              <w:fldChar w:fldCharType="end"/>
            </w:r>
          </w:p>
        </w:tc>
        <w:tc>
          <w:tcPr>
            <w:tcW w:w="1536" w:type="dxa"/>
            <w:tcMar>
              <w:left w:w="28" w:type="dxa"/>
              <w:right w:w="28" w:type="dxa"/>
            </w:tcMar>
            <w:vAlign w:val="center"/>
          </w:tcPr>
          <w:p>
            <w:pPr>
              <w:adjustRightInd w:val="0"/>
              <w:snapToGrid w:val="0"/>
              <w:spacing w:beforeLines="0" w:afterLines="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本项目排放量（固体废物产生量）</w:t>
            </w:r>
            <w:r>
              <w:rPr>
                <w:rFonts w:hint="default" w:ascii="Times New Roman" w:hAnsi="Times New Roman" w:eastAsia="宋体" w:cs="Times New Roman"/>
                <w:b/>
                <w:bCs/>
                <w:szCs w:val="21"/>
              </w:rPr>
              <w:fldChar w:fldCharType="begin"/>
            </w:r>
            <w:r>
              <w:rPr>
                <w:rFonts w:hint="default" w:ascii="Times New Roman" w:hAnsi="Times New Roman" w:eastAsia="宋体" w:cs="Times New Roman"/>
                <w:b/>
                <w:bCs/>
                <w:szCs w:val="21"/>
              </w:rPr>
              <w:instrText xml:space="preserve"> = 4 \* GB3 \* MERGEFORMAT </w:instrText>
            </w:r>
            <w:r>
              <w:rPr>
                <w:rFonts w:hint="default" w:ascii="Times New Roman" w:hAnsi="Times New Roman" w:eastAsia="宋体" w:cs="Times New Roman"/>
                <w:b/>
                <w:bCs/>
                <w:szCs w:val="21"/>
              </w:rPr>
              <w:fldChar w:fldCharType="separate"/>
            </w:r>
            <w:r>
              <w:rPr>
                <w:rFonts w:hint="default" w:ascii="Times New Roman" w:hAnsi="Times New Roman" w:eastAsia="宋体" w:cs="Times New Roman"/>
                <w:b/>
                <w:bCs/>
                <w:szCs w:val="21"/>
              </w:rPr>
              <w:t>④</w:t>
            </w:r>
            <w:r>
              <w:rPr>
                <w:rFonts w:hint="default" w:ascii="Times New Roman" w:hAnsi="Times New Roman" w:eastAsia="宋体" w:cs="Times New Roman"/>
                <w:b/>
                <w:bCs/>
                <w:szCs w:val="21"/>
              </w:rPr>
              <w:fldChar w:fldCharType="end"/>
            </w:r>
          </w:p>
        </w:tc>
        <w:tc>
          <w:tcPr>
            <w:tcW w:w="1464" w:type="dxa"/>
            <w:tcMar>
              <w:left w:w="28" w:type="dxa"/>
              <w:right w:w="28" w:type="dxa"/>
            </w:tcMar>
            <w:vAlign w:val="center"/>
          </w:tcPr>
          <w:p>
            <w:pPr>
              <w:adjustRightInd w:val="0"/>
              <w:snapToGrid w:val="0"/>
              <w:spacing w:beforeLines="0" w:afterLines="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以新带老削减量（新建项目不填）</w:t>
            </w:r>
            <w:r>
              <w:rPr>
                <w:rFonts w:hint="default" w:ascii="Times New Roman" w:hAnsi="Times New Roman" w:eastAsia="宋体" w:cs="Times New Roman"/>
                <w:b/>
                <w:bCs/>
                <w:szCs w:val="21"/>
              </w:rPr>
              <w:fldChar w:fldCharType="begin"/>
            </w:r>
            <w:r>
              <w:rPr>
                <w:rFonts w:hint="default" w:ascii="Times New Roman" w:hAnsi="Times New Roman" w:eastAsia="宋体" w:cs="Times New Roman"/>
                <w:b/>
                <w:bCs/>
                <w:szCs w:val="21"/>
              </w:rPr>
              <w:instrText xml:space="preserve"> = 5 \* GB3 \* MERGEFORMAT </w:instrText>
            </w:r>
            <w:r>
              <w:rPr>
                <w:rFonts w:hint="default" w:ascii="Times New Roman" w:hAnsi="Times New Roman" w:eastAsia="宋体" w:cs="Times New Roman"/>
                <w:b/>
                <w:bCs/>
                <w:szCs w:val="21"/>
              </w:rPr>
              <w:fldChar w:fldCharType="separate"/>
            </w:r>
            <w:r>
              <w:rPr>
                <w:rFonts w:hint="default" w:ascii="Times New Roman" w:hAnsi="Times New Roman" w:eastAsia="宋体" w:cs="Times New Roman"/>
                <w:b/>
                <w:bCs/>
                <w:szCs w:val="21"/>
              </w:rPr>
              <w:t>⑤</w:t>
            </w:r>
            <w:r>
              <w:rPr>
                <w:rFonts w:hint="default" w:ascii="Times New Roman" w:hAnsi="Times New Roman" w:eastAsia="宋体" w:cs="Times New Roman"/>
                <w:b/>
                <w:bCs/>
                <w:szCs w:val="21"/>
              </w:rPr>
              <w:fldChar w:fldCharType="end"/>
            </w:r>
          </w:p>
        </w:tc>
        <w:tc>
          <w:tcPr>
            <w:tcW w:w="1735" w:type="dxa"/>
            <w:tcMar>
              <w:left w:w="28" w:type="dxa"/>
              <w:right w:w="28" w:type="dxa"/>
            </w:tcMar>
            <w:vAlign w:val="center"/>
          </w:tcPr>
          <w:p>
            <w:pPr>
              <w:adjustRightInd w:val="0"/>
              <w:snapToGrid w:val="0"/>
              <w:spacing w:beforeLines="0" w:afterLines="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本项目建成后全厂排放量（固体废物产生量）</w:t>
            </w:r>
            <w:r>
              <w:rPr>
                <w:rFonts w:hint="default" w:ascii="Times New Roman" w:hAnsi="Times New Roman" w:eastAsia="宋体" w:cs="Times New Roman"/>
                <w:b/>
                <w:bCs/>
                <w:szCs w:val="21"/>
              </w:rPr>
              <w:fldChar w:fldCharType="begin"/>
            </w:r>
            <w:r>
              <w:rPr>
                <w:rFonts w:hint="default" w:ascii="Times New Roman" w:hAnsi="Times New Roman" w:eastAsia="宋体" w:cs="Times New Roman"/>
                <w:b/>
                <w:bCs/>
                <w:szCs w:val="21"/>
              </w:rPr>
              <w:instrText xml:space="preserve"> = 6 \* GB3 \* MERGEFORMAT </w:instrText>
            </w:r>
            <w:r>
              <w:rPr>
                <w:rFonts w:hint="default" w:ascii="Times New Roman" w:hAnsi="Times New Roman" w:eastAsia="宋体" w:cs="Times New Roman"/>
                <w:b/>
                <w:bCs/>
                <w:szCs w:val="21"/>
              </w:rPr>
              <w:fldChar w:fldCharType="separate"/>
            </w:r>
            <w:r>
              <w:rPr>
                <w:rFonts w:hint="default" w:ascii="Times New Roman" w:hAnsi="Times New Roman" w:eastAsia="宋体" w:cs="Times New Roman"/>
                <w:b/>
                <w:bCs/>
                <w:szCs w:val="21"/>
              </w:rPr>
              <w:t>⑥</w:t>
            </w:r>
            <w:r>
              <w:rPr>
                <w:rFonts w:hint="default" w:ascii="Times New Roman" w:hAnsi="Times New Roman" w:eastAsia="宋体" w:cs="Times New Roman"/>
                <w:b/>
                <w:bCs/>
                <w:szCs w:val="21"/>
              </w:rPr>
              <w:fldChar w:fldCharType="end"/>
            </w:r>
          </w:p>
        </w:tc>
        <w:tc>
          <w:tcPr>
            <w:tcW w:w="1320" w:type="dxa"/>
            <w:tcMar>
              <w:left w:w="28" w:type="dxa"/>
              <w:right w:w="28" w:type="dxa"/>
            </w:tcMar>
            <w:vAlign w:val="center"/>
          </w:tcPr>
          <w:p>
            <w:pPr>
              <w:adjustRightInd w:val="0"/>
              <w:snapToGrid w:val="0"/>
              <w:spacing w:beforeLines="0" w:afterLines="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变化量</w:t>
            </w:r>
          </w:p>
          <w:p>
            <w:pPr>
              <w:adjustRightInd w:val="0"/>
              <w:snapToGrid w:val="0"/>
              <w:spacing w:beforeLines="0" w:afterLines="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fldChar w:fldCharType="begin"/>
            </w:r>
            <w:r>
              <w:rPr>
                <w:rFonts w:hint="default" w:ascii="Times New Roman" w:hAnsi="Times New Roman" w:eastAsia="宋体" w:cs="Times New Roman"/>
                <w:b/>
                <w:bCs/>
                <w:szCs w:val="21"/>
              </w:rPr>
              <w:instrText xml:space="preserve"> = 7 \* GB3 \* MERGEFORMAT </w:instrText>
            </w:r>
            <w:r>
              <w:rPr>
                <w:rFonts w:hint="default" w:ascii="Times New Roman" w:hAnsi="Times New Roman" w:eastAsia="宋体" w:cs="Times New Roman"/>
                <w:b/>
                <w:bCs/>
                <w:szCs w:val="21"/>
              </w:rPr>
              <w:fldChar w:fldCharType="separate"/>
            </w:r>
            <w:r>
              <w:rPr>
                <w:rFonts w:hint="default" w:ascii="Times New Roman" w:hAnsi="Times New Roman" w:eastAsia="宋体" w:cs="Times New Roman"/>
                <w:b/>
                <w:bCs/>
                <w:szCs w:val="21"/>
              </w:rPr>
              <w:t>⑦</w:t>
            </w:r>
            <w:r>
              <w:rPr>
                <w:rFonts w:hint="default" w:ascii="Times New Roman" w:hAnsi="Times New Roman" w:eastAsia="宋体" w:cs="Times New Roman"/>
                <w:b/>
                <w:bCs/>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restart"/>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废气</w:t>
            </w:r>
          </w:p>
        </w:tc>
        <w:tc>
          <w:tcPr>
            <w:tcW w:w="1493"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非甲烷总烃</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0.03798</w:t>
            </w:r>
          </w:p>
        </w:tc>
        <w:tc>
          <w:tcPr>
            <w:tcW w:w="146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0.03798</w:t>
            </w:r>
          </w:p>
        </w:tc>
        <w:tc>
          <w:tcPr>
            <w:tcW w:w="1320"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+0.03798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颗粒物</w:t>
            </w:r>
          </w:p>
        </w:tc>
        <w:tc>
          <w:tcPr>
            <w:tcW w:w="1677"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0.21705</w:t>
            </w:r>
          </w:p>
        </w:tc>
        <w:tc>
          <w:tcPr>
            <w:tcW w:w="146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0.21705</w:t>
            </w:r>
          </w:p>
        </w:tc>
        <w:tc>
          <w:tcPr>
            <w:tcW w:w="1320"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+0.21705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restart"/>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废水</w:t>
            </w:r>
          </w:p>
        </w:tc>
        <w:tc>
          <w:tcPr>
            <w:tcW w:w="1493"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废水量</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300</w:t>
            </w:r>
          </w:p>
        </w:tc>
        <w:tc>
          <w:tcPr>
            <w:tcW w:w="146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300</w:t>
            </w:r>
          </w:p>
        </w:tc>
        <w:tc>
          <w:tcPr>
            <w:tcW w:w="1320"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+300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kern w:val="0"/>
                <w:szCs w:val="21"/>
                <w:lang w:bidi="ar"/>
              </w:rPr>
              <w:t>CODcr</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color w:val="000000"/>
                <w:kern w:val="0"/>
                <w:szCs w:val="21"/>
                <w:lang w:bidi="ar"/>
              </w:rPr>
              <w:t>0.102</w:t>
            </w:r>
          </w:p>
        </w:tc>
        <w:tc>
          <w:tcPr>
            <w:tcW w:w="146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color w:val="000000"/>
                <w:kern w:val="0"/>
                <w:szCs w:val="21"/>
                <w:lang w:bidi="ar"/>
              </w:rPr>
              <w:t>0.102</w:t>
            </w:r>
          </w:p>
        </w:tc>
        <w:tc>
          <w:tcPr>
            <w:tcW w:w="1320"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+0.102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kern w:val="0"/>
                <w:szCs w:val="21"/>
                <w:lang w:bidi="ar"/>
              </w:rPr>
              <w:t>SS</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color w:val="000000"/>
                <w:kern w:val="0"/>
                <w:szCs w:val="21"/>
                <w:lang w:bidi="ar"/>
              </w:rPr>
              <w:t>0.06</w:t>
            </w:r>
          </w:p>
        </w:tc>
        <w:tc>
          <w:tcPr>
            <w:tcW w:w="146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color w:val="000000"/>
                <w:kern w:val="0"/>
                <w:szCs w:val="21"/>
                <w:lang w:bidi="ar"/>
              </w:rPr>
              <w:t>0.06</w:t>
            </w:r>
          </w:p>
        </w:tc>
        <w:tc>
          <w:tcPr>
            <w:tcW w:w="1320"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kern w:val="0"/>
                <w:szCs w:val="21"/>
              </w:rPr>
            </w:pPr>
            <w:r>
              <w:rPr>
                <w:rFonts w:hint="default" w:ascii="Times New Roman" w:hAnsi="Times New Roman" w:eastAsia="宋体" w:cs="Times New Roman"/>
                <w:color w:val="000000"/>
                <w:kern w:val="0"/>
                <w:szCs w:val="21"/>
                <w:lang w:bidi="ar"/>
              </w:rPr>
              <w:t>+0.06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kern w:val="0"/>
                <w:szCs w:val="21"/>
                <w:lang w:bidi="ar"/>
              </w:rPr>
              <w:t>NH</w:t>
            </w:r>
            <w:r>
              <w:rPr>
                <w:rFonts w:hint="default" w:ascii="Times New Roman" w:hAnsi="Times New Roman" w:eastAsia="宋体" w:cs="Times New Roman"/>
                <w:kern w:val="0"/>
                <w:szCs w:val="21"/>
                <w:vertAlign w:val="subscript"/>
                <w:lang w:bidi="ar"/>
              </w:rPr>
              <w:t>3</w:t>
            </w:r>
            <w:r>
              <w:rPr>
                <w:rFonts w:hint="default" w:ascii="Times New Roman" w:hAnsi="Times New Roman" w:eastAsia="宋体" w:cs="Times New Roman"/>
                <w:kern w:val="0"/>
                <w:szCs w:val="21"/>
                <w:lang w:bidi="ar"/>
              </w:rPr>
              <w:t>-N</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color w:val="000000"/>
                <w:kern w:val="0"/>
                <w:szCs w:val="21"/>
                <w:lang w:bidi="ar"/>
              </w:rPr>
              <w:t>0.0075</w:t>
            </w:r>
          </w:p>
        </w:tc>
        <w:tc>
          <w:tcPr>
            <w:tcW w:w="146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color w:val="000000"/>
                <w:kern w:val="0"/>
                <w:szCs w:val="21"/>
                <w:lang w:bidi="ar"/>
              </w:rPr>
              <w:t>0.0075</w:t>
            </w:r>
          </w:p>
        </w:tc>
        <w:tc>
          <w:tcPr>
            <w:tcW w:w="1320"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kern w:val="0"/>
                <w:szCs w:val="21"/>
              </w:rPr>
            </w:pPr>
            <w:r>
              <w:rPr>
                <w:rFonts w:hint="default" w:ascii="Times New Roman" w:hAnsi="Times New Roman" w:eastAsia="宋体" w:cs="Times New Roman"/>
                <w:color w:val="000000"/>
                <w:kern w:val="0"/>
                <w:szCs w:val="21"/>
                <w:lang w:bidi="ar"/>
              </w:rPr>
              <w:t>+0.0075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kern w:val="0"/>
                <w:szCs w:val="21"/>
                <w:lang w:bidi="ar"/>
              </w:rPr>
              <w:t>TP</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color w:val="000000"/>
                <w:kern w:val="0"/>
                <w:szCs w:val="21"/>
                <w:lang w:bidi="ar"/>
              </w:rPr>
              <w:t>0.0009</w:t>
            </w:r>
          </w:p>
        </w:tc>
        <w:tc>
          <w:tcPr>
            <w:tcW w:w="146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color w:val="000000"/>
                <w:kern w:val="0"/>
                <w:szCs w:val="21"/>
                <w:lang w:bidi="ar"/>
              </w:rPr>
              <w:t>0.0009</w:t>
            </w:r>
          </w:p>
        </w:tc>
        <w:tc>
          <w:tcPr>
            <w:tcW w:w="1320"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kern w:val="0"/>
                <w:szCs w:val="21"/>
              </w:rPr>
            </w:pPr>
            <w:r>
              <w:rPr>
                <w:rFonts w:hint="default" w:ascii="Times New Roman" w:hAnsi="Times New Roman" w:eastAsia="宋体" w:cs="Times New Roman"/>
                <w:color w:val="000000"/>
                <w:kern w:val="0"/>
                <w:szCs w:val="21"/>
                <w:lang w:bidi="ar"/>
              </w:rPr>
              <w:t>+0.0009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kern w:val="0"/>
                <w:szCs w:val="21"/>
                <w:lang w:bidi="ar"/>
              </w:rPr>
              <w:t>TN</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color w:val="000000"/>
                <w:kern w:val="0"/>
                <w:szCs w:val="21"/>
                <w:lang w:bidi="ar"/>
              </w:rPr>
              <w:t>0.0105</w:t>
            </w:r>
          </w:p>
        </w:tc>
        <w:tc>
          <w:tcPr>
            <w:tcW w:w="146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color w:val="000000"/>
                <w:kern w:val="0"/>
                <w:szCs w:val="21"/>
                <w:lang w:bidi="ar"/>
              </w:rPr>
              <w:t>0.0105</w:t>
            </w:r>
          </w:p>
        </w:tc>
        <w:tc>
          <w:tcPr>
            <w:tcW w:w="1320" w:type="dxa"/>
            <w:vAlign w:val="center"/>
          </w:tcPr>
          <w:p>
            <w:pPr>
              <w:widowControl/>
              <w:adjustRightInd w:val="0"/>
              <w:snapToGrid w:val="0"/>
              <w:spacing w:beforeLines="0" w:afterLines="0"/>
              <w:jc w:val="center"/>
              <w:textAlignment w:val="center"/>
              <w:rPr>
                <w:rFonts w:hint="default" w:ascii="Times New Roman" w:hAnsi="Times New Roman" w:eastAsia="宋体" w:cs="Times New Roman"/>
                <w:kern w:val="0"/>
                <w:szCs w:val="21"/>
              </w:rPr>
            </w:pPr>
            <w:r>
              <w:rPr>
                <w:rFonts w:hint="default" w:ascii="Times New Roman" w:hAnsi="Times New Roman" w:eastAsia="宋体" w:cs="Times New Roman"/>
                <w:color w:val="000000"/>
                <w:kern w:val="0"/>
                <w:szCs w:val="21"/>
                <w:lang w:bidi="ar"/>
              </w:rPr>
              <w:t>+0.0105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restart"/>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一般工业</w:t>
            </w:r>
          </w:p>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固体废物</w:t>
            </w:r>
          </w:p>
        </w:tc>
        <w:tc>
          <w:tcPr>
            <w:tcW w:w="1493"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废边角料</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3</w:t>
            </w:r>
          </w:p>
        </w:tc>
        <w:tc>
          <w:tcPr>
            <w:tcW w:w="146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3</w:t>
            </w:r>
          </w:p>
        </w:tc>
        <w:tc>
          <w:tcPr>
            <w:tcW w:w="1320"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废包装材料</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2</w:t>
            </w:r>
          </w:p>
        </w:tc>
        <w:tc>
          <w:tcPr>
            <w:tcW w:w="146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2</w:t>
            </w:r>
          </w:p>
        </w:tc>
        <w:tc>
          <w:tcPr>
            <w:tcW w:w="1320"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color w:val="000000" w:themeColor="text1"/>
                <w:szCs w:val="21"/>
                <w14:textFill>
                  <w14:solidFill>
                    <w14:schemeClr w14:val="tx1"/>
                  </w14:solidFill>
                </w14:textFill>
              </w:rPr>
              <w:t>生活垃圾</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7.5</w:t>
            </w:r>
          </w:p>
        </w:tc>
        <w:tc>
          <w:tcPr>
            <w:tcW w:w="146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p>
        </w:tc>
        <w:tc>
          <w:tcPr>
            <w:tcW w:w="1735"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7.5</w:t>
            </w:r>
          </w:p>
        </w:tc>
        <w:tc>
          <w:tcPr>
            <w:tcW w:w="1320"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restart"/>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危险废物</w:t>
            </w:r>
          </w:p>
        </w:tc>
        <w:tc>
          <w:tcPr>
            <w:tcW w:w="1493"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废活性炭</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3.2</w:t>
            </w:r>
          </w:p>
        </w:tc>
        <w:tc>
          <w:tcPr>
            <w:tcW w:w="146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3.2</w:t>
            </w:r>
          </w:p>
        </w:tc>
        <w:tc>
          <w:tcPr>
            <w:tcW w:w="1320"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废机油</w:t>
            </w:r>
          </w:p>
        </w:tc>
        <w:tc>
          <w:tcPr>
            <w:tcW w:w="1677"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0.001</w:t>
            </w:r>
          </w:p>
        </w:tc>
        <w:tc>
          <w:tcPr>
            <w:tcW w:w="146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0.001</w:t>
            </w:r>
          </w:p>
        </w:tc>
        <w:tc>
          <w:tcPr>
            <w:tcW w:w="1320"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废机油桶</w:t>
            </w:r>
          </w:p>
        </w:tc>
        <w:tc>
          <w:tcPr>
            <w:tcW w:w="1677"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0.02</w:t>
            </w:r>
          </w:p>
        </w:tc>
        <w:tc>
          <w:tcPr>
            <w:tcW w:w="146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0.02</w:t>
            </w:r>
          </w:p>
        </w:tc>
        <w:tc>
          <w:tcPr>
            <w:tcW w:w="1320"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铝渣</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2</w:t>
            </w:r>
          </w:p>
        </w:tc>
        <w:tc>
          <w:tcPr>
            <w:tcW w:w="146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2</w:t>
            </w:r>
          </w:p>
        </w:tc>
        <w:tc>
          <w:tcPr>
            <w:tcW w:w="1320"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除尘器收集的铝烟尘</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0.1701</w:t>
            </w:r>
          </w:p>
        </w:tc>
        <w:tc>
          <w:tcPr>
            <w:tcW w:w="146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0.1701</w:t>
            </w:r>
          </w:p>
        </w:tc>
        <w:tc>
          <w:tcPr>
            <w:tcW w:w="1320"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+0.1701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脱模剂废液</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0.25</w:t>
            </w:r>
          </w:p>
        </w:tc>
        <w:tc>
          <w:tcPr>
            <w:tcW w:w="146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0.25</w:t>
            </w:r>
          </w:p>
        </w:tc>
        <w:tc>
          <w:tcPr>
            <w:tcW w:w="1320"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废包装桶</w:t>
            </w:r>
          </w:p>
        </w:tc>
        <w:tc>
          <w:tcPr>
            <w:tcW w:w="1677"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0.4</w:t>
            </w:r>
          </w:p>
        </w:tc>
        <w:tc>
          <w:tcPr>
            <w:tcW w:w="1464" w:type="dxa"/>
            <w:vAlign w:val="center"/>
          </w:tcPr>
          <w:p>
            <w:pPr>
              <w:adjustRightInd w:val="0"/>
              <w:snapToGrid w:val="0"/>
              <w:spacing w:beforeLines="0" w:afterLines="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0.4</w:t>
            </w:r>
          </w:p>
        </w:tc>
        <w:tc>
          <w:tcPr>
            <w:tcW w:w="1320" w:type="dxa"/>
            <w:vAlign w:val="center"/>
          </w:tcPr>
          <w:p>
            <w:pPr>
              <w:pStyle w:val="84"/>
              <w:snapToGrid w:val="0"/>
              <w:spacing w:beforeLines="0" w:afterLines="0"/>
              <w:ind w:left="0" w:leftChars="0"/>
              <w:rPr>
                <w:rFonts w:hint="default" w:ascii="Times New Roman" w:hAnsi="Times New Roman" w:eastAsia="宋体" w:cs="Times New Roman"/>
                <w:snapToGrid w:val="0"/>
                <w:w w:val="100"/>
                <w:kern w:val="21"/>
                <w:sz w:val="21"/>
                <w:szCs w:val="21"/>
              </w:rPr>
            </w:pPr>
            <w:r>
              <w:rPr>
                <w:rFonts w:hint="default" w:ascii="Times New Roman" w:hAnsi="Times New Roman" w:eastAsia="宋体" w:cs="Times New Roman"/>
                <w:bCs/>
                <w:snapToGrid w:val="0"/>
                <w:color w:val="000000" w:themeColor="text1"/>
                <w:w w:val="100"/>
                <w:sz w:val="21"/>
                <w:szCs w:val="21"/>
                <w14:textFill>
                  <w14:solidFill>
                    <w14:schemeClr w14:val="tx1"/>
                  </w14:solidFill>
                </w14:textFill>
              </w:rPr>
              <w:t>+0.4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pStyle w:val="84"/>
              <w:snapToGrid w:val="0"/>
              <w:spacing w:beforeLines="0" w:afterLines="0"/>
              <w:ind w:left="0" w:leftChars="0"/>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t>废切削液</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84"/>
              <w:snapToGrid w:val="0"/>
              <w:spacing w:beforeLines="0" w:afterLines="0"/>
              <w:ind w:left="0" w:leftChars="0"/>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t>0.1</w:t>
            </w:r>
          </w:p>
        </w:tc>
        <w:tc>
          <w:tcPr>
            <w:tcW w:w="146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84"/>
              <w:snapToGrid w:val="0"/>
              <w:spacing w:beforeLines="0" w:afterLines="0"/>
              <w:ind w:left="0" w:leftChars="0"/>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t>0.1</w:t>
            </w:r>
          </w:p>
        </w:tc>
        <w:tc>
          <w:tcPr>
            <w:tcW w:w="1320" w:type="dxa"/>
            <w:vAlign w:val="center"/>
          </w:tcPr>
          <w:p>
            <w:pPr>
              <w:pStyle w:val="84"/>
              <w:snapToGrid w:val="0"/>
              <w:spacing w:beforeLines="0" w:afterLines="0"/>
              <w:ind w:left="0" w:leftChars="0"/>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6" w:type="dxa"/>
            <w:vMerge w:val="continue"/>
            <w:vAlign w:val="center"/>
          </w:tcPr>
          <w:p>
            <w:pPr>
              <w:pStyle w:val="42"/>
              <w:spacing w:beforeLines="0" w:afterLines="0" w:line="240" w:lineRule="auto"/>
              <w:rPr>
                <w:rFonts w:hint="default" w:ascii="Times New Roman" w:hAnsi="Times New Roman" w:eastAsia="宋体" w:cs="Times New Roman"/>
                <w:snapToGrid w:val="0"/>
                <w:kern w:val="21"/>
                <w:szCs w:val="21"/>
              </w:rPr>
            </w:pPr>
          </w:p>
        </w:tc>
        <w:tc>
          <w:tcPr>
            <w:tcW w:w="1493" w:type="dxa"/>
            <w:vAlign w:val="center"/>
          </w:tcPr>
          <w:p>
            <w:pPr>
              <w:pStyle w:val="84"/>
              <w:snapToGrid w:val="0"/>
              <w:spacing w:beforeLines="0" w:afterLines="0"/>
              <w:ind w:left="0" w:leftChars="0"/>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t>沉淀池残渣</w:t>
            </w:r>
          </w:p>
        </w:tc>
        <w:tc>
          <w:tcPr>
            <w:tcW w:w="1677"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29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536" w:type="dxa"/>
            <w:vAlign w:val="center"/>
          </w:tcPr>
          <w:p>
            <w:pPr>
              <w:pStyle w:val="84"/>
              <w:snapToGrid w:val="0"/>
              <w:spacing w:beforeLines="0" w:afterLines="0"/>
              <w:ind w:left="0" w:leftChars="0"/>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t>0.2</w:t>
            </w:r>
          </w:p>
        </w:tc>
        <w:tc>
          <w:tcPr>
            <w:tcW w:w="1464" w:type="dxa"/>
            <w:vAlign w:val="center"/>
          </w:tcPr>
          <w:p>
            <w:pPr>
              <w:pStyle w:val="42"/>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w:t>
            </w:r>
          </w:p>
        </w:tc>
        <w:tc>
          <w:tcPr>
            <w:tcW w:w="1735" w:type="dxa"/>
            <w:vAlign w:val="center"/>
          </w:tcPr>
          <w:p>
            <w:pPr>
              <w:pStyle w:val="84"/>
              <w:snapToGrid w:val="0"/>
              <w:spacing w:beforeLines="0" w:afterLines="0"/>
              <w:ind w:left="0" w:leftChars="0"/>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t>0.2</w:t>
            </w:r>
          </w:p>
        </w:tc>
        <w:tc>
          <w:tcPr>
            <w:tcW w:w="1320" w:type="dxa"/>
            <w:vAlign w:val="center"/>
          </w:tcPr>
          <w:p>
            <w:pPr>
              <w:pStyle w:val="84"/>
              <w:snapToGrid w:val="0"/>
              <w:spacing w:beforeLines="0" w:afterLines="0"/>
              <w:ind w:left="0" w:leftChars="0"/>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pPr>
            <w:r>
              <w:rPr>
                <w:rFonts w:hint="default" w:ascii="Times New Roman" w:hAnsi="Times New Roman" w:eastAsia="宋体" w:cs="Times New Roman"/>
                <w:bCs/>
                <w:snapToGrid w:val="0"/>
                <w:color w:val="000000" w:themeColor="text1"/>
                <w:w w:val="100"/>
                <w:sz w:val="21"/>
                <w:szCs w:val="21"/>
                <w:lang w:val="en-US" w:eastAsia="zh-CN"/>
                <w14:textFill>
                  <w14:solidFill>
                    <w14:schemeClr w14:val="tx1"/>
                  </w14:solidFill>
                </w14:textFill>
              </w:rPr>
              <w:t>0.2</w:t>
            </w:r>
          </w:p>
        </w:tc>
      </w:tr>
    </w:tbl>
    <w:p>
      <w:pPr>
        <w:pStyle w:val="42"/>
        <w:spacing w:beforeLines="0" w:afterLines="0" w:line="240" w:lineRule="auto"/>
        <w:jc w:val="left"/>
        <w:rPr>
          <w:rFonts w:hAnsi="宋体"/>
          <w:snapToGrid w:val="0"/>
          <w:spacing w:val="-6"/>
          <w:kern w:val="21"/>
          <w:szCs w:val="21"/>
        </w:rPr>
        <w:sectPr>
          <w:footerReference r:id="rId7"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r>
        <w:rPr>
          <w:rFonts w:hAnsi="宋体"/>
          <w:snapToGrid w:val="0"/>
          <w:kern w:val="21"/>
          <w:szCs w:val="21"/>
        </w:rPr>
        <w:t>注：</w:t>
      </w:r>
      <w:r>
        <w:rPr>
          <w:rFonts w:hAnsi="宋体"/>
          <w:snapToGrid w:val="0"/>
          <w:spacing w:val="-16"/>
          <w:kern w:val="21"/>
          <w:szCs w:val="21"/>
        </w:rPr>
        <w:fldChar w:fldCharType="begin"/>
      </w:r>
      <w:r>
        <w:rPr>
          <w:rFonts w:hAnsi="宋体"/>
          <w:snapToGrid w:val="0"/>
          <w:spacing w:val="-16"/>
          <w:kern w:val="21"/>
          <w:szCs w:val="21"/>
        </w:rPr>
        <w:instrText xml:space="preserve"> = 6 \* GB3 \* MERGEFORMAT </w:instrText>
      </w:r>
      <w:r>
        <w:rPr>
          <w:rFonts w:hAnsi="宋体"/>
          <w:snapToGrid w:val="0"/>
          <w:spacing w:val="-16"/>
          <w:kern w:val="21"/>
          <w:szCs w:val="21"/>
        </w:rPr>
        <w:fldChar w:fldCharType="separate"/>
      </w:r>
      <w:r>
        <w:rPr>
          <w:rFonts w:hint="eastAsia" w:hAnsi="宋体"/>
          <w:szCs w:val="21"/>
        </w:rPr>
        <w:t>⑥</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1 \* GB3 \* MERGEFORMAT </w:instrText>
      </w:r>
      <w:r>
        <w:rPr>
          <w:rFonts w:hAnsi="宋体"/>
          <w:snapToGrid w:val="0"/>
          <w:spacing w:val="-6"/>
          <w:kern w:val="21"/>
          <w:szCs w:val="21"/>
        </w:rPr>
        <w:fldChar w:fldCharType="separate"/>
      </w:r>
      <w:r>
        <w:rPr>
          <w:rFonts w:hint="eastAsia" w:hAnsi="宋体"/>
          <w:szCs w:val="21"/>
        </w:rPr>
        <w:t>①</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3 \* GB3 \* MERGEFORMAT </w:instrText>
      </w:r>
      <w:r>
        <w:rPr>
          <w:rFonts w:hAnsi="宋体"/>
          <w:snapToGrid w:val="0"/>
          <w:spacing w:val="-6"/>
          <w:kern w:val="21"/>
          <w:szCs w:val="21"/>
        </w:rPr>
        <w:fldChar w:fldCharType="separate"/>
      </w:r>
      <w:r>
        <w:rPr>
          <w:rFonts w:hint="eastAsia" w:hAnsi="宋体"/>
          <w:szCs w:val="21"/>
        </w:rPr>
        <w:t>③</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4 \* GB3 \* MERGEFORMAT </w:instrText>
      </w:r>
      <w:r>
        <w:rPr>
          <w:rFonts w:hAnsi="宋体"/>
          <w:snapToGrid w:val="0"/>
          <w:spacing w:val="-6"/>
          <w:kern w:val="21"/>
          <w:szCs w:val="21"/>
        </w:rPr>
        <w:fldChar w:fldCharType="separate"/>
      </w:r>
      <w:r>
        <w:rPr>
          <w:rFonts w:hint="eastAsia" w:hAnsi="宋体"/>
          <w:szCs w:val="21"/>
        </w:rPr>
        <w:t>④</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16"/>
          <w:kern w:val="21"/>
          <w:szCs w:val="21"/>
        </w:rPr>
        <w:fldChar w:fldCharType="begin"/>
      </w:r>
      <w:r>
        <w:rPr>
          <w:rFonts w:hAnsi="宋体"/>
          <w:snapToGrid w:val="0"/>
          <w:spacing w:val="-16"/>
          <w:kern w:val="21"/>
          <w:szCs w:val="21"/>
        </w:rPr>
        <w:instrText xml:space="preserve"> = 5 \* GB3 \* MERGEFORMAT </w:instrText>
      </w:r>
      <w:r>
        <w:rPr>
          <w:rFonts w:hAnsi="宋体"/>
          <w:snapToGrid w:val="0"/>
          <w:spacing w:val="-16"/>
          <w:kern w:val="21"/>
          <w:szCs w:val="21"/>
        </w:rPr>
        <w:fldChar w:fldCharType="separate"/>
      </w:r>
      <w:r>
        <w:rPr>
          <w:rFonts w:hint="eastAsia" w:hAnsi="宋体"/>
          <w:szCs w:val="21"/>
        </w:rPr>
        <w:t>⑤</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7 \* GB3 \* MERGEFORMAT </w:instrText>
      </w:r>
      <w:r>
        <w:rPr>
          <w:rFonts w:hAnsi="宋体"/>
          <w:snapToGrid w:val="0"/>
          <w:spacing w:val="-6"/>
          <w:kern w:val="21"/>
          <w:szCs w:val="21"/>
        </w:rPr>
        <w:fldChar w:fldCharType="separate"/>
      </w:r>
      <w:r>
        <w:rPr>
          <w:rFonts w:hint="eastAsia" w:hAnsi="宋体"/>
          <w:szCs w:val="21"/>
        </w:rPr>
        <w:t>⑦</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16"/>
          <w:kern w:val="21"/>
          <w:szCs w:val="21"/>
        </w:rPr>
        <w:fldChar w:fldCharType="begin"/>
      </w:r>
      <w:r>
        <w:rPr>
          <w:rFonts w:hAnsi="宋体"/>
          <w:snapToGrid w:val="0"/>
          <w:spacing w:val="-16"/>
          <w:kern w:val="21"/>
          <w:szCs w:val="21"/>
        </w:rPr>
        <w:instrText xml:space="preserve"> = 6 \* GB3 \* MERGEFORMAT </w:instrText>
      </w:r>
      <w:r>
        <w:rPr>
          <w:rFonts w:hAnsi="宋体"/>
          <w:snapToGrid w:val="0"/>
          <w:spacing w:val="-16"/>
          <w:kern w:val="21"/>
          <w:szCs w:val="21"/>
        </w:rPr>
        <w:fldChar w:fldCharType="separate"/>
      </w:r>
      <w:r>
        <w:rPr>
          <w:rFonts w:hint="eastAsia" w:hAnsi="宋体"/>
          <w:szCs w:val="21"/>
        </w:rPr>
        <w:t>⑥</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1 \* GB3 \* MERGEFORMAT </w:instrText>
      </w:r>
      <w:r>
        <w:rPr>
          <w:rFonts w:hAnsi="宋体"/>
          <w:snapToGrid w:val="0"/>
          <w:spacing w:val="-6"/>
          <w:kern w:val="21"/>
          <w:szCs w:val="21"/>
        </w:rPr>
        <w:fldChar w:fldCharType="separate"/>
      </w:r>
      <w:r>
        <w:rPr>
          <w:rFonts w:hint="eastAsia" w:hAnsi="宋体"/>
          <w:szCs w:val="21"/>
        </w:rPr>
        <w:t>①</w:t>
      </w:r>
      <w:r>
        <w:rPr>
          <w:rFonts w:hAnsi="宋体"/>
          <w:snapToGrid w:val="0"/>
          <w:spacing w:val="-6"/>
          <w:kern w:val="21"/>
          <w:szCs w:val="21"/>
        </w:rPr>
        <w:fldChar w:fldCharType="end"/>
      </w:r>
    </w:p>
    <w:p/>
    <w:p/>
    <w:p/>
    <w:p/>
    <w:p/>
    <w:p/>
    <w:sectPr>
      <w:footerReference r:id="rId8" w:type="default"/>
      <w:pgSz w:w="11910" w:h="16840"/>
      <w:pgMar w:top="740" w:right="1001" w:bottom="1180" w:left="1020" w:header="0" w:footer="993"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
    <w:altName w:val="黑体"/>
    <w:panose1 w:val="00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37"/>
      </w:rPr>
    </w:pPr>
    <w:r>
      <w:fldChar w:fldCharType="begin"/>
    </w:r>
    <w:r>
      <w:rPr>
        <w:rStyle w:val="37"/>
      </w:rPr>
      <w:instrText xml:space="preserve">PAGE  </w:instrText>
    </w:r>
    <w:r>
      <w:fldChar w:fldCharType="end"/>
    </w:r>
  </w:p>
  <w:p>
    <w:pPr>
      <w:pStyle w:val="2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right="360" w:firstLine="36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81314A"/>
    <w:multiLevelType w:val="singleLevel"/>
    <w:tmpl w:val="9D81314A"/>
    <w:lvl w:ilvl="0" w:tentative="0">
      <w:start w:val="1"/>
      <w:numFmt w:val="bullet"/>
      <w:pStyle w:val="9"/>
      <w:lvlText w:val=""/>
      <w:lvlJc w:val="left"/>
      <w:pPr>
        <w:tabs>
          <w:tab w:val="left" w:pos="780"/>
        </w:tabs>
        <w:ind w:left="780" w:hanging="360"/>
      </w:pPr>
      <w:rPr>
        <w:rFonts w:hint="default" w:ascii="Wingdings" w:hAnsi="Wingdings"/>
      </w:rPr>
    </w:lvl>
  </w:abstractNum>
  <w:abstractNum w:abstractNumId="1">
    <w:nsid w:val="A484593C"/>
    <w:multiLevelType w:val="singleLevel"/>
    <w:tmpl w:val="A484593C"/>
    <w:lvl w:ilvl="0" w:tentative="0">
      <w:start w:val="3"/>
      <w:numFmt w:val="decimal"/>
      <w:suff w:val="nothing"/>
      <w:lvlText w:val="%1、"/>
      <w:lvlJc w:val="left"/>
    </w:lvl>
  </w:abstractNum>
  <w:abstractNum w:abstractNumId="2">
    <w:nsid w:val="C15C0750"/>
    <w:multiLevelType w:val="singleLevel"/>
    <w:tmpl w:val="C15C0750"/>
    <w:lvl w:ilvl="0" w:tentative="0">
      <w:start w:val="1"/>
      <w:numFmt w:val="decimal"/>
      <w:suff w:val="nothing"/>
      <w:lvlText w:val="%1、"/>
      <w:lvlJc w:val="left"/>
    </w:lvl>
  </w:abstractNum>
  <w:abstractNum w:abstractNumId="3">
    <w:nsid w:val="00000002"/>
    <w:multiLevelType w:val="multilevel"/>
    <w:tmpl w:val="00000002"/>
    <w:lvl w:ilvl="0" w:tentative="0">
      <w:start w:val="1"/>
      <w:numFmt w:val="decimal"/>
      <w:isLgl/>
      <w:suff w:val="nothing"/>
      <w:lvlText w:val="%1  "/>
      <w:lvlJc w:val="left"/>
      <w:pPr>
        <w:ind w:left="0" w:firstLine="0"/>
      </w:pPr>
      <w:rPr>
        <w:rFonts w:hint="eastAsia"/>
      </w:rPr>
    </w:lvl>
    <w:lvl w:ilvl="1" w:tentative="0">
      <w:start w:val="1"/>
      <w:numFmt w:val="decimal"/>
      <w:isLgl/>
      <w:suff w:val="nothing"/>
      <w:lvlText w:val="%1.%2  "/>
      <w:lvlJc w:val="left"/>
      <w:pPr>
        <w:ind w:left="0" w:firstLine="0"/>
      </w:pPr>
      <w:rPr>
        <w:rFonts w:hint="default" w:ascii="Times New Roman" w:hAnsi="Times New Roman" w:cs="Times New Roman"/>
      </w:rPr>
    </w:lvl>
    <w:lvl w:ilvl="2" w:tentative="0">
      <w:start w:val="1"/>
      <w:numFmt w:val="decimal"/>
      <w:pStyle w:val="4"/>
      <w:isLgl/>
      <w:suff w:val="nothing"/>
      <w:lvlText w:val="%1.%2.%3  "/>
      <w:lvlJc w:val="left"/>
      <w:pPr>
        <w:ind w:left="0" w:firstLine="0"/>
      </w:pPr>
      <w:rPr>
        <w:rFonts w:hint="default" w:ascii="Times New Roman" w:hAnsi="Times New Roman" w:cs="Times New Roman"/>
        <w:b w:val="0"/>
      </w:rPr>
    </w:lvl>
    <w:lvl w:ilvl="3" w:tentative="0">
      <w:start w:val="1"/>
      <w:numFmt w:val="decimal"/>
      <w:isLgl/>
      <w:suff w:val="nothing"/>
      <w:lvlText w:val="%1.%2.%3.%4  "/>
      <w:lvlJc w:val="left"/>
      <w:pPr>
        <w:ind w:left="0" w:firstLine="0"/>
      </w:pPr>
      <w:rPr>
        <w:rFonts w:hint="eastAsia"/>
        <w:b w:val="0"/>
      </w:rPr>
    </w:lvl>
    <w:lvl w:ilvl="4" w:tentative="0">
      <w:start w:val="1"/>
      <w:numFmt w:val="decimal"/>
      <w:isLgl/>
      <w:suff w:val="nothing"/>
      <w:lvlText w:val="%1.%2.%3.%4.%5  "/>
      <w:lvlJc w:val="left"/>
      <w:pPr>
        <w:ind w:left="0" w:firstLine="0"/>
      </w:pPr>
      <w:rPr>
        <w:rFonts w:hint="eastAsia"/>
      </w:rPr>
    </w:lvl>
    <w:lvl w:ilvl="5" w:tentative="0">
      <w:start w:val="1"/>
      <w:numFmt w:val="decimal"/>
      <w:isLgl/>
      <w:suff w:val="nothing"/>
      <w:lvlText w:val="%1.%2.%3.%4.%5.%6  "/>
      <w:lvlJc w:val="left"/>
      <w:pPr>
        <w:ind w:left="0" w:firstLine="0"/>
      </w:pPr>
      <w:rPr>
        <w:rFonts w:hint="eastAsia"/>
      </w:rPr>
    </w:lvl>
    <w:lvl w:ilvl="6" w:tentative="0">
      <w:start w:val="1"/>
      <w:numFmt w:val="decimal"/>
      <w:isLgl/>
      <w:suff w:val="nothing"/>
      <w:lvlText w:val="%1.%2.%3.%4.%5.%6.%7  "/>
      <w:lvlJc w:val="left"/>
      <w:pPr>
        <w:ind w:left="0" w:firstLine="0"/>
      </w:pPr>
      <w:rPr>
        <w:rFonts w:hint="eastAsia"/>
      </w:rPr>
    </w:lvl>
    <w:lvl w:ilvl="7" w:tentative="0">
      <w:start w:val="1"/>
      <w:numFmt w:val="decimal"/>
      <w:isLgl/>
      <w:suff w:val="nothing"/>
      <w:lvlText w:val="%1.%2.%3.%4.%5.%6.%7.%8  "/>
      <w:lvlJc w:val="left"/>
      <w:pPr>
        <w:ind w:left="0" w:firstLine="0"/>
      </w:pPr>
      <w:rPr>
        <w:rFonts w:hint="eastAsia"/>
      </w:rPr>
    </w:lvl>
    <w:lvl w:ilvl="8" w:tentative="0">
      <w:start w:val="1"/>
      <w:numFmt w:val="decimal"/>
      <w:isLgl/>
      <w:suff w:val="nothing"/>
      <w:lvlText w:val="%1.%2.%3.%4.%5.%6.%7.%8.%9  "/>
      <w:lvlJc w:val="left"/>
      <w:pPr>
        <w:ind w:left="0" w:firstLine="0"/>
      </w:pPr>
      <w:rPr>
        <w:rFonts w:hint="eastAsia"/>
      </w:rPr>
    </w:lvl>
  </w:abstractNum>
  <w:abstractNum w:abstractNumId="4">
    <w:nsid w:val="02F90D3F"/>
    <w:multiLevelType w:val="singleLevel"/>
    <w:tmpl w:val="02F90D3F"/>
    <w:lvl w:ilvl="0" w:tentative="0">
      <w:start w:val="2"/>
      <w:numFmt w:val="decimal"/>
      <w:suff w:val="nothing"/>
      <w:lvlText w:val="%1、"/>
      <w:lvlJc w:val="left"/>
    </w:lvl>
  </w:abstractNum>
  <w:abstractNum w:abstractNumId="5">
    <w:nsid w:val="16498ED1"/>
    <w:multiLevelType w:val="singleLevel"/>
    <w:tmpl w:val="16498ED1"/>
    <w:lvl w:ilvl="0" w:tentative="0">
      <w:start w:val="14"/>
      <w:numFmt w:val="decimal"/>
      <w:suff w:val="nothing"/>
      <w:lvlText w:val="%1、"/>
      <w:lvlJc w:val="left"/>
    </w:lvl>
  </w:abstractNum>
  <w:abstractNum w:abstractNumId="6">
    <w:nsid w:val="24EB765C"/>
    <w:multiLevelType w:val="singleLevel"/>
    <w:tmpl w:val="24EB765C"/>
    <w:lvl w:ilvl="0" w:tentative="0">
      <w:start w:val="1"/>
      <w:numFmt w:val="decimal"/>
      <w:suff w:val="nothing"/>
      <w:lvlText w:val="（%1）"/>
      <w:lvlJc w:val="left"/>
    </w:lvl>
  </w:abstractNum>
  <w:abstractNum w:abstractNumId="7">
    <w:nsid w:val="289ADE69"/>
    <w:multiLevelType w:val="singleLevel"/>
    <w:tmpl w:val="289ADE69"/>
    <w:lvl w:ilvl="0" w:tentative="0">
      <w:start w:val="1"/>
      <w:numFmt w:val="bullet"/>
      <w:pStyle w:val="19"/>
      <w:lvlText w:val=""/>
      <w:lvlJc w:val="left"/>
      <w:pPr>
        <w:tabs>
          <w:tab w:val="left" w:pos="2040"/>
        </w:tabs>
        <w:ind w:left="2040" w:hanging="360"/>
      </w:pPr>
      <w:rPr>
        <w:rFonts w:hint="default" w:ascii="Wingdings" w:hAnsi="Wingdings"/>
      </w:rPr>
    </w:lvl>
  </w:abstractNum>
  <w:abstractNum w:abstractNumId="8">
    <w:nsid w:val="56DA0412"/>
    <w:multiLevelType w:val="singleLevel"/>
    <w:tmpl w:val="56DA0412"/>
    <w:lvl w:ilvl="0" w:tentative="0">
      <w:start w:val="2"/>
      <w:numFmt w:val="decimal"/>
      <w:suff w:val="nothing"/>
      <w:lvlText w:val="（%1）"/>
      <w:lvlJc w:val="left"/>
    </w:lvl>
  </w:abstractNum>
  <w:num w:numId="1">
    <w:abstractNumId w:val="3"/>
  </w:num>
  <w:num w:numId="2">
    <w:abstractNumId w:val="0"/>
  </w:num>
  <w:num w:numId="3">
    <w:abstractNumId w:val="7"/>
  </w:num>
  <w:num w:numId="4">
    <w:abstractNumId w:val="1"/>
  </w:num>
  <w:num w:numId="5">
    <w:abstractNumId w:val="5"/>
  </w:num>
  <w:num w:numId="6">
    <w:abstractNumId w:val="4"/>
  </w:num>
  <w:num w:numId="7">
    <w:abstractNumId w:val="8"/>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removePersonalInformation/>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NlNTNkYTJhZTUwMThhYTc0MGMwY2ZjOTk4YTc2ZDYifQ=="/>
  </w:docVars>
  <w:rsids>
    <w:rsidRoot w:val="00A14947"/>
    <w:rsid w:val="000060B3"/>
    <w:rsid w:val="00006863"/>
    <w:rsid w:val="0004364B"/>
    <w:rsid w:val="00061B1F"/>
    <w:rsid w:val="000733C4"/>
    <w:rsid w:val="00074783"/>
    <w:rsid w:val="0008070B"/>
    <w:rsid w:val="000810AC"/>
    <w:rsid w:val="00081A02"/>
    <w:rsid w:val="00082231"/>
    <w:rsid w:val="00092D38"/>
    <w:rsid w:val="0009377B"/>
    <w:rsid w:val="000A20C9"/>
    <w:rsid w:val="000B04BB"/>
    <w:rsid w:val="000B058F"/>
    <w:rsid w:val="000B4467"/>
    <w:rsid w:val="000B4DB9"/>
    <w:rsid w:val="000C09AC"/>
    <w:rsid w:val="000C767F"/>
    <w:rsid w:val="000D5A44"/>
    <w:rsid w:val="000E3ED2"/>
    <w:rsid w:val="00112C79"/>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045B"/>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377A6"/>
    <w:rsid w:val="00637A3D"/>
    <w:rsid w:val="006411EF"/>
    <w:rsid w:val="0067419D"/>
    <w:rsid w:val="006748B8"/>
    <w:rsid w:val="006775C3"/>
    <w:rsid w:val="0069290A"/>
    <w:rsid w:val="0069775A"/>
    <w:rsid w:val="00697813"/>
    <w:rsid w:val="006A3EE8"/>
    <w:rsid w:val="006A72BF"/>
    <w:rsid w:val="006B03F2"/>
    <w:rsid w:val="006B37DC"/>
    <w:rsid w:val="006B4F68"/>
    <w:rsid w:val="006B771A"/>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2466F"/>
    <w:rsid w:val="008306BD"/>
    <w:rsid w:val="00831A80"/>
    <w:rsid w:val="00833743"/>
    <w:rsid w:val="008340A4"/>
    <w:rsid w:val="008352DE"/>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05601"/>
    <w:rsid w:val="00A14947"/>
    <w:rsid w:val="00A239F8"/>
    <w:rsid w:val="00A32A83"/>
    <w:rsid w:val="00A368DB"/>
    <w:rsid w:val="00A423AA"/>
    <w:rsid w:val="00A452E2"/>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91B4C"/>
    <w:rsid w:val="00B935B4"/>
    <w:rsid w:val="00BA29E9"/>
    <w:rsid w:val="00BA7142"/>
    <w:rsid w:val="00BB237C"/>
    <w:rsid w:val="00BB41A3"/>
    <w:rsid w:val="00BC32DC"/>
    <w:rsid w:val="00BC35B6"/>
    <w:rsid w:val="00BC4870"/>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034D"/>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67C3D"/>
    <w:rsid w:val="00D94A7C"/>
    <w:rsid w:val="00D95896"/>
    <w:rsid w:val="00D9737F"/>
    <w:rsid w:val="00DB2983"/>
    <w:rsid w:val="00DC1257"/>
    <w:rsid w:val="00DC3DC0"/>
    <w:rsid w:val="00DC5B2B"/>
    <w:rsid w:val="00DD318D"/>
    <w:rsid w:val="00DD733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81070"/>
    <w:rsid w:val="00E9242D"/>
    <w:rsid w:val="00EA32AA"/>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24272A"/>
    <w:rsid w:val="01290F7E"/>
    <w:rsid w:val="01370B63"/>
    <w:rsid w:val="015D1E09"/>
    <w:rsid w:val="015F74D7"/>
    <w:rsid w:val="01753F73"/>
    <w:rsid w:val="017D3378"/>
    <w:rsid w:val="01837F2A"/>
    <w:rsid w:val="01B80348"/>
    <w:rsid w:val="01C770E4"/>
    <w:rsid w:val="02697903"/>
    <w:rsid w:val="02B8380B"/>
    <w:rsid w:val="02F55DFD"/>
    <w:rsid w:val="02F96569"/>
    <w:rsid w:val="03965494"/>
    <w:rsid w:val="03EA7B21"/>
    <w:rsid w:val="03F7554F"/>
    <w:rsid w:val="03FA09DE"/>
    <w:rsid w:val="04000493"/>
    <w:rsid w:val="04B51FBB"/>
    <w:rsid w:val="04D07C6A"/>
    <w:rsid w:val="05532308"/>
    <w:rsid w:val="056F71D1"/>
    <w:rsid w:val="05C87BBA"/>
    <w:rsid w:val="05F83EAE"/>
    <w:rsid w:val="063E7D85"/>
    <w:rsid w:val="06D215CC"/>
    <w:rsid w:val="06F6110C"/>
    <w:rsid w:val="07293586"/>
    <w:rsid w:val="07295285"/>
    <w:rsid w:val="07636392"/>
    <w:rsid w:val="07770C56"/>
    <w:rsid w:val="081B6C8D"/>
    <w:rsid w:val="08D670B6"/>
    <w:rsid w:val="092217DD"/>
    <w:rsid w:val="093A7294"/>
    <w:rsid w:val="0A263993"/>
    <w:rsid w:val="0A2D3AC2"/>
    <w:rsid w:val="0AA755DF"/>
    <w:rsid w:val="0B120D44"/>
    <w:rsid w:val="0BB54296"/>
    <w:rsid w:val="0BCD088E"/>
    <w:rsid w:val="0BD27BF6"/>
    <w:rsid w:val="0C0D6BA4"/>
    <w:rsid w:val="0C3B3C7D"/>
    <w:rsid w:val="0CAB2EAE"/>
    <w:rsid w:val="0CE00A95"/>
    <w:rsid w:val="0D42622D"/>
    <w:rsid w:val="0D621C7D"/>
    <w:rsid w:val="0DE418DA"/>
    <w:rsid w:val="0E032ABA"/>
    <w:rsid w:val="0E73034D"/>
    <w:rsid w:val="0EA93BE9"/>
    <w:rsid w:val="0ECD6F88"/>
    <w:rsid w:val="0F026AA1"/>
    <w:rsid w:val="0F13775A"/>
    <w:rsid w:val="0F2D6521"/>
    <w:rsid w:val="0F2E7896"/>
    <w:rsid w:val="0F5D461F"/>
    <w:rsid w:val="0F5F45FE"/>
    <w:rsid w:val="0F7A4953"/>
    <w:rsid w:val="0F8865C4"/>
    <w:rsid w:val="0F9A112B"/>
    <w:rsid w:val="1004596A"/>
    <w:rsid w:val="106D2F64"/>
    <w:rsid w:val="10B63710"/>
    <w:rsid w:val="10F10820"/>
    <w:rsid w:val="111C2F7A"/>
    <w:rsid w:val="11312527"/>
    <w:rsid w:val="11665CA1"/>
    <w:rsid w:val="11831330"/>
    <w:rsid w:val="12E115C4"/>
    <w:rsid w:val="13272F7A"/>
    <w:rsid w:val="132B5451"/>
    <w:rsid w:val="1392455B"/>
    <w:rsid w:val="13951726"/>
    <w:rsid w:val="14396509"/>
    <w:rsid w:val="14777757"/>
    <w:rsid w:val="148E7FE9"/>
    <w:rsid w:val="14AE3227"/>
    <w:rsid w:val="14AF0D19"/>
    <w:rsid w:val="14DD2C3C"/>
    <w:rsid w:val="14FE77A1"/>
    <w:rsid w:val="15497F63"/>
    <w:rsid w:val="15830C1A"/>
    <w:rsid w:val="16087E1D"/>
    <w:rsid w:val="16BF1B00"/>
    <w:rsid w:val="16F05D79"/>
    <w:rsid w:val="170E314C"/>
    <w:rsid w:val="173C2D6C"/>
    <w:rsid w:val="17555C48"/>
    <w:rsid w:val="17701D14"/>
    <w:rsid w:val="17735226"/>
    <w:rsid w:val="17D75D0C"/>
    <w:rsid w:val="189F26B1"/>
    <w:rsid w:val="189F624C"/>
    <w:rsid w:val="193064C3"/>
    <w:rsid w:val="19663EEA"/>
    <w:rsid w:val="1A177AC0"/>
    <w:rsid w:val="1A1C66C0"/>
    <w:rsid w:val="1A42393B"/>
    <w:rsid w:val="1A5A3378"/>
    <w:rsid w:val="1A7C336C"/>
    <w:rsid w:val="1AA9326B"/>
    <w:rsid w:val="1AAD45DE"/>
    <w:rsid w:val="1AB273A9"/>
    <w:rsid w:val="1B046F80"/>
    <w:rsid w:val="1B3267B5"/>
    <w:rsid w:val="1B40161D"/>
    <w:rsid w:val="1B441859"/>
    <w:rsid w:val="1B6606B1"/>
    <w:rsid w:val="1C056809"/>
    <w:rsid w:val="1C5E7925"/>
    <w:rsid w:val="1CFD070F"/>
    <w:rsid w:val="1D5F6196"/>
    <w:rsid w:val="1D6132A5"/>
    <w:rsid w:val="1D8B05A9"/>
    <w:rsid w:val="1D8E56D5"/>
    <w:rsid w:val="1E2C79D2"/>
    <w:rsid w:val="1E2E3AE0"/>
    <w:rsid w:val="1E7A43DA"/>
    <w:rsid w:val="1E91493B"/>
    <w:rsid w:val="1E996A09"/>
    <w:rsid w:val="1F670C36"/>
    <w:rsid w:val="1F934EA9"/>
    <w:rsid w:val="1FE7539E"/>
    <w:rsid w:val="203603E6"/>
    <w:rsid w:val="20671BE0"/>
    <w:rsid w:val="20963CB8"/>
    <w:rsid w:val="20A81A1B"/>
    <w:rsid w:val="20B07FB6"/>
    <w:rsid w:val="20B646FB"/>
    <w:rsid w:val="20FE63F2"/>
    <w:rsid w:val="213B74B1"/>
    <w:rsid w:val="215A2310"/>
    <w:rsid w:val="21D509F2"/>
    <w:rsid w:val="21DE318A"/>
    <w:rsid w:val="21EF5B80"/>
    <w:rsid w:val="22576990"/>
    <w:rsid w:val="22A7052D"/>
    <w:rsid w:val="22AE058C"/>
    <w:rsid w:val="22F47480"/>
    <w:rsid w:val="235D2108"/>
    <w:rsid w:val="23B568F8"/>
    <w:rsid w:val="23DE1C48"/>
    <w:rsid w:val="23F9362C"/>
    <w:rsid w:val="240210CD"/>
    <w:rsid w:val="24AB00BA"/>
    <w:rsid w:val="24BF09F7"/>
    <w:rsid w:val="252D53FE"/>
    <w:rsid w:val="254E68E9"/>
    <w:rsid w:val="25554EE5"/>
    <w:rsid w:val="2563339C"/>
    <w:rsid w:val="258E15F9"/>
    <w:rsid w:val="25C76DA4"/>
    <w:rsid w:val="25DB78B0"/>
    <w:rsid w:val="25EC2D81"/>
    <w:rsid w:val="25FC2044"/>
    <w:rsid w:val="262B311D"/>
    <w:rsid w:val="263712CE"/>
    <w:rsid w:val="263F7C6D"/>
    <w:rsid w:val="26B82350"/>
    <w:rsid w:val="277057A2"/>
    <w:rsid w:val="27D3734B"/>
    <w:rsid w:val="286E6DB5"/>
    <w:rsid w:val="28B07116"/>
    <w:rsid w:val="28F90842"/>
    <w:rsid w:val="29206EB8"/>
    <w:rsid w:val="292C31E8"/>
    <w:rsid w:val="29595666"/>
    <w:rsid w:val="295A6013"/>
    <w:rsid w:val="295F6E99"/>
    <w:rsid w:val="29874881"/>
    <w:rsid w:val="29E325E0"/>
    <w:rsid w:val="2A452503"/>
    <w:rsid w:val="2A7E50BC"/>
    <w:rsid w:val="2A97058D"/>
    <w:rsid w:val="2B4448F7"/>
    <w:rsid w:val="2B9D2B61"/>
    <w:rsid w:val="2BA936A8"/>
    <w:rsid w:val="2C040D56"/>
    <w:rsid w:val="2C1C04F7"/>
    <w:rsid w:val="2C315A5A"/>
    <w:rsid w:val="2C4B1C25"/>
    <w:rsid w:val="2D2702F2"/>
    <w:rsid w:val="2D393B7E"/>
    <w:rsid w:val="2D9E56F5"/>
    <w:rsid w:val="2E52098E"/>
    <w:rsid w:val="2E654045"/>
    <w:rsid w:val="2E667F96"/>
    <w:rsid w:val="2E8226AB"/>
    <w:rsid w:val="2EED10C4"/>
    <w:rsid w:val="2F540788"/>
    <w:rsid w:val="2FD065E6"/>
    <w:rsid w:val="2FD96870"/>
    <w:rsid w:val="300631C6"/>
    <w:rsid w:val="30580BC9"/>
    <w:rsid w:val="30B14124"/>
    <w:rsid w:val="30D75B88"/>
    <w:rsid w:val="311E2ED7"/>
    <w:rsid w:val="31200571"/>
    <w:rsid w:val="315619EE"/>
    <w:rsid w:val="315C449C"/>
    <w:rsid w:val="31B82709"/>
    <w:rsid w:val="31D05482"/>
    <w:rsid w:val="31EF480A"/>
    <w:rsid w:val="31F91B2E"/>
    <w:rsid w:val="323E7845"/>
    <w:rsid w:val="32400B34"/>
    <w:rsid w:val="324234D5"/>
    <w:rsid w:val="329E6876"/>
    <w:rsid w:val="32FC5EAA"/>
    <w:rsid w:val="333015F2"/>
    <w:rsid w:val="33352456"/>
    <w:rsid w:val="334B6320"/>
    <w:rsid w:val="33D934D4"/>
    <w:rsid w:val="33FE2F6A"/>
    <w:rsid w:val="340E07E5"/>
    <w:rsid w:val="34235BF7"/>
    <w:rsid w:val="358C5FA8"/>
    <w:rsid w:val="35C15DF1"/>
    <w:rsid w:val="36074A7F"/>
    <w:rsid w:val="362E0D12"/>
    <w:rsid w:val="365B00DB"/>
    <w:rsid w:val="365D6B2F"/>
    <w:rsid w:val="3671472E"/>
    <w:rsid w:val="36923549"/>
    <w:rsid w:val="36B75FBF"/>
    <w:rsid w:val="36BD0C45"/>
    <w:rsid w:val="370F22A4"/>
    <w:rsid w:val="374F1073"/>
    <w:rsid w:val="37B12C55"/>
    <w:rsid w:val="37E00298"/>
    <w:rsid w:val="38007EC8"/>
    <w:rsid w:val="38A851AA"/>
    <w:rsid w:val="38B302F9"/>
    <w:rsid w:val="38F12CD3"/>
    <w:rsid w:val="38F94775"/>
    <w:rsid w:val="392971ED"/>
    <w:rsid w:val="392E26DA"/>
    <w:rsid w:val="39325651"/>
    <w:rsid w:val="39D32C64"/>
    <w:rsid w:val="3A125E82"/>
    <w:rsid w:val="3A2977BE"/>
    <w:rsid w:val="3A4A42B8"/>
    <w:rsid w:val="3A654204"/>
    <w:rsid w:val="3A7A113F"/>
    <w:rsid w:val="3A872856"/>
    <w:rsid w:val="3A91588D"/>
    <w:rsid w:val="3AA1074A"/>
    <w:rsid w:val="3AC32CD9"/>
    <w:rsid w:val="3B3763D1"/>
    <w:rsid w:val="3BAA48B9"/>
    <w:rsid w:val="3C2F6E1E"/>
    <w:rsid w:val="3C4F64BA"/>
    <w:rsid w:val="3CB80EBB"/>
    <w:rsid w:val="3CDA245A"/>
    <w:rsid w:val="3D1E06B7"/>
    <w:rsid w:val="3E267FDA"/>
    <w:rsid w:val="3E5125F4"/>
    <w:rsid w:val="3E6454F2"/>
    <w:rsid w:val="3EB70DA6"/>
    <w:rsid w:val="3ED2561A"/>
    <w:rsid w:val="3EDA0523"/>
    <w:rsid w:val="3EED5712"/>
    <w:rsid w:val="3F235CC0"/>
    <w:rsid w:val="3F3F6C7C"/>
    <w:rsid w:val="3FBF6165"/>
    <w:rsid w:val="3FED7EB8"/>
    <w:rsid w:val="400312F6"/>
    <w:rsid w:val="405754EB"/>
    <w:rsid w:val="407A6407"/>
    <w:rsid w:val="4200449D"/>
    <w:rsid w:val="4209201B"/>
    <w:rsid w:val="423A3BCC"/>
    <w:rsid w:val="424E57D2"/>
    <w:rsid w:val="42B26C49"/>
    <w:rsid w:val="42F23139"/>
    <w:rsid w:val="42FC784A"/>
    <w:rsid w:val="42FF56F1"/>
    <w:rsid w:val="433A6FE6"/>
    <w:rsid w:val="43455000"/>
    <w:rsid w:val="43480868"/>
    <w:rsid w:val="4350713C"/>
    <w:rsid w:val="43571209"/>
    <w:rsid w:val="436653E0"/>
    <w:rsid w:val="439D31BD"/>
    <w:rsid w:val="43C4431A"/>
    <w:rsid w:val="44B951CC"/>
    <w:rsid w:val="44CD14E0"/>
    <w:rsid w:val="44F20B0B"/>
    <w:rsid w:val="452E5F4C"/>
    <w:rsid w:val="454040E7"/>
    <w:rsid w:val="454C3CB1"/>
    <w:rsid w:val="45612018"/>
    <w:rsid w:val="45755DFA"/>
    <w:rsid w:val="458946E9"/>
    <w:rsid w:val="459040FF"/>
    <w:rsid w:val="45A47C0E"/>
    <w:rsid w:val="46577FD6"/>
    <w:rsid w:val="46647A66"/>
    <w:rsid w:val="46965745"/>
    <w:rsid w:val="46D955A7"/>
    <w:rsid w:val="47133957"/>
    <w:rsid w:val="47A07E0C"/>
    <w:rsid w:val="4870272E"/>
    <w:rsid w:val="49354B49"/>
    <w:rsid w:val="494675A7"/>
    <w:rsid w:val="49DC7715"/>
    <w:rsid w:val="4A023139"/>
    <w:rsid w:val="4A1B48DF"/>
    <w:rsid w:val="4A7B576F"/>
    <w:rsid w:val="4A98008F"/>
    <w:rsid w:val="4AD96239"/>
    <w:rsid w:val="4AF561A9"/>
    <w:rsid w:val="4B3814C1"/>
    <w:rsid w:val="4C0F5D7E"/>
    <w:rsid w:val="4C331970"/>
    <w:rsid w:val="4C4A0649"/>
    <w:rsid w:val="4C7E5ECA"/>
    <w:rsid w:val="4C876AA5"/>
    <w:rsid w:val="4D0E00FB"/>
    <w:rsid w:val="4D176606"/>
    <w:rsid w:val="4D5F0F87"/>
    <w:rsid w:val="4DA449D2"/>
    <w:rsid w:val="4DEC4FB0"/>
    <w:rsid w:val="4E075D8A"/>
    <w:rsid w:val="4E291A85"/>
    <w:rsid w:val="4EC00FAD"/>
    <w:rsid w:val="4F6D0516"/>
    <w:rsid w:val="4F9843DC"/>
    <w:rsid w:val="4F9B464D"/>
    <w:rsid w:val="4FC62A8C"/>
    <w:rsid w:val="4FD80B7D"/>
    <w:rsid w:val="4FE20F0D"/>
    <w:rsid w:val="4FE51552"/>
    <w:rsid w:val="501B392D"/>
    <w:rsid w:val="50225C65"/>
    <w:rsid w:val="504B29FB"/>
    <w:rsid w:val="50504C4B"/>
    <w:rsid w:val="506002F9"/>
    <w:rsid w:val="5081260F"/>
    <w:rsid w:val="509C6E7C"/>
    <w:rsid w:val="509E5922"/>
    <w:rsid w:val="509F1CD3"/>
    <w:rsid w:val="5162104E"/>
    <w:rsid w:val="51A54AF0"/>
    <w:rsid w:val="52F1462E"/>
    <w:rsid w:val="52FE0495"/>
    <w:rsid w:val="53463A85"/>
    <w:rsid w:val="53A039CC"/>
    <w:rsid w:val="53A1505A"/>
    <w:rsid w:val="54063E08"/>
    <w:rsid w:val="543437E8"/>
    <w:rsid w:val="54F73313"/>
    <w:rsid w:val="54F80955"/>
    <w:rsid w:val="55107491"/>
    <w:rsid w:val="55362DB4"/>
    <w:rsid w:val="555170A7"/>
    <w:rsid w:val="5587536D"/>
    <w:rsid w:val="559B174B"/>
    <w:rsid w:val="55A22066"/>
    <w:rsid w:val="55CE0CF4"/>
    <w:rsid w:val="56242A1A"/>
    <w:rsid w:val="56B22A9C"/>
    <w:rsid w:val="56E16569"/>
    <w:rsid w:val="573612C2"/>
    <w:rsid w:val="574E6937"/>
    <w:rsid w:val="576A5A13"/>
    <w:rsid w:val="57B72A76"/>
    <w:rsid w:val="57C3426C"/>
    <w:rsid w:val="57CE1F93"/>
    <w:rsid w:val="588743D1"/>
    <w:rsid w:val="5887701A"/>
    <w:rsid w:val="58B170F9"/>
    <w:rsid w:val="58CE0A9D"/>
    <w:rsid w:val="59275F9F"/>
    <w:rsid w:val="59423A57"/>
    <w:rsid w:val="59B77A55"/>
    <w:rsid w:val="59C0439F"/>
    <w:rsid w:val="59C178BE"/>
    <w:rsid w:val="59CF2B33"/>
    <w:rsid w:val="59D00996"/>
    <w:rsid w:val="5A081735"/>
    <w:rsid w:val="5A194417"/>
    <w:rsid w:val="5A5248B3"/>
    <w:rsid w:val="5A5F6122"/>
    <w:rsid w:val="5AB126F6"/>
    <w:rsid w:val="5ABE2233"/>
    <w:rsid w:val="5BC45966"/>
    <w:rsid w:val="5BDF5D95"/>
    <w:rsid w:val="5BFE7528"/>
    <w:rsid w:val="5C76437F"/>
    <w:rsid w:val="5CB862EB"/>
    <w:rsid w:val="5D4D5B68"/>
    <w:rsid w:val="5DF5504B"/>
    <w:rsid w:val="5E2467F1"/>
    <w:rsid w:val="5E7563BE"/>
    <w:rsid w:val="5E8C0474"/>
    <w:rsid w:val="5ED16744"/>
    <w:rsid w:val="5ED67AF6"/>
    <w:rsid w:val="5F1A2B43"/>
    <w:rsid w:val="5FB837BB"/>
    <w:rsid w:val="5FB938AE"/>
    <w:rsid w:val="60CC405A"/>
    <w:rsid w:val="61250DED"/>
    <w:rsid w:val="61553FD6"/>
    <w:rsid w:val="61CA2A1B"/>
    <w:rsid w:val="61E215D8"/>
    <w:rsid w:val="61F17968"/>
    <w:rsid w:val="621B3775"/>
    <w:rsid w:val="62351261"/>
    <w:rsid w:val="62364782"/>
    <w:rsid w:val="627648BF"/>
    <w:rsid w:val="62A64EA3"/>
    <w:rsid w:val="62AD7C47"/>
    <w:rsid w:val="62AF4069"/>
    <w:rsid w:val="63195540"/>
    <w:rsid w:val="6394356A"/>
    <w:rsid w:val="63A62E6D"/>
    <w:rsid w:val="63C61B2C"/>
    <w:rsid w:val="63D40BE9"/>
    <w:rsid w:val="64072575"/>
    <w:rsid w:val="64102431"/>
    <w:rsid w:val="6484234F"/>
    <w:rsid w:val="648A46E4"/>
    <w:rsid w:val="64A5243A"/>
    <w:rsid w:val="64E4591D"/>
    <w:rsid w:val="64F46001"/>
    <w:rsid w:val="64F531DE"/>
    <w:rsid w:val="65373578"/>
    <w:rsid w:val="654E1AC4"/>
    <w:rsid w:val="6691199B"/>
    <w:rsid w:val="671F124A"/>
    <w:rsid w:val="671F303A"/>
    <w:rsid w:val="67247CA3"/>
    <w:rsid w:val="677A33C6"/>
    <w:rsid w:val="677E5A29"/>
    <w:rsid w:val="679C6751"/>
    <w:rsid w:val="67E67944"/>
    <w:rsid w:val="67FA1B80"/>
    <w:rsid w:val="681F6961"/>
    <w:rsid w:val="68610A2F"/>
    <w:rsid w:val="68805514"/>
    <w:rsid w:val="68BC6746"/>
    <w:rsid w:val="68E14AFD"/>
    <w:rsid w:val="69316E2F"/>
    <w:rsid w:val="694E2071"/>
    <w:rsid w:val="695941AB"/>
    <w:rsid w:val="69766163"/>
    <w:rsid w:val="697A3B33"/>
    <w:rsid w:val="69A55E9A"/>
    <w:rsid w:val="69D44760"/>
    <w:rsid w:val="6A520EC7"/>
    <w:rsid w:val="6AA14BAE"/>
    <w:rsid w:val="6AF87E20"/>
    <w:rsid w:val="6B1C589B"/>
    <w:rsid w:val="6B322639"/>
    <w:rsid w:val="6BB53E78"/>
    <w:rsid w:val="6BCB236F"/>
    <w:rsid w:val="6C4C7676"/>
    <w:rsid w:val="6C4E249B"/>
    <w:rsid w:val="6C636C38"/>
    <w:rsid w:val="6C9E29DB"/>
    <w:rsid w:val="6CF74E46"/>
    <w:rsid w:val="6D3B46C1"/>
    <w:rsid w:val="6DA5433C"/>
    <w:rsid w:val="6DB34098"/>
    <w:rsid w:val="6DB545B6"/>
    <w:rsid w:val="6DE02FB4"/>
    <w:rsid w:val="6E357AF2"/>
    <w:rsid w:val="6E514CED"/>
    <w:rsid w:val="6E81644E"/>
    <w:rsid w:val="6E863FF4"/>
    <w:rsid w:val="6EA939B8"/>
    <w:rsid w:val="6EB563D5"/>
    <w:rsid w:val="6ED92677"/>
    <w:rsid w:val="6F225983"/>
    <w:rsid w:val="6F2F7EC5"/>
    <w:rsid w:val="6F3239AE"/>
    <w:rsid w:val="6F4D4C8B"/>
    <w:rsid w:val="6FA7439C"/>
    <w:rsid w:val="6FFC5590"/>
    <w:rsid w:val="706D1DD0"/>
    <w:rsid w:val="70856B87"/>
    <w:rsid w:val="70D527EE"/>
    <w:rsid w:val="70D7644F"/>
    <w:rsid w:val="71116C4F"/>
    <w:rsid w:val="71237F22"/>
    <w:rsid w:val="715B5300"/>
    <w:rsid w:val="718F158B"/>
    <w:rsid w:val="71AD5B10"/>
    <w:rsid w:val="71BC7EB4"/>
    <w:rsid w:val="71D27F8A"/>
    <w:rsid w:val="72553024"/>
    <w:rsid w:val="728E1B4D"/>
    <w:rsid w:val="72917D1D"/>
    <w:rsid w:val="73122968"/>
    <w:rsid w:val="731F5D5E"/>
    <w:rsid w:val="73662DBC"/>
    <w:rsid w:val="73C51AD5"/>
    <w:rsid w:val="741E793C"/>
    <w:rsid w:val="745E3944"/>
    <w:rsid w:val="74B4097E"/>
    <w:rsid w:val="752505F4"/>
    <w:rsid w:val="755F6DB1"/>
    <w:rsid w:val="756D1BE3"/>
    <w:rsid w:val="75B70C40"/>
    <w:rsid w:val="75BB1208"/>
    <w:rsid w:val="75DE0416"/>
    <w:rsid w:val="75E9786E"/>
    <w:rsid w:val="76274077"/>
    <w:rsid w:val="7635099D"/>
    <w:rsid w:val="768C4D5C"/>
    <w:rsid w:val="77762421"/>
    <w:rsid w:val="77B56B1F"/>
    <w:rsid w:val="78045402"/>
    <w:rsid w:val="780F09F4"/>
    <w:rsid w:val="785E6D7A"/>
    <w:rsid w:val="78676CE1"/>
    <w:rsid w:val="78A90480"/>
    <w:rsid w:val="791F75AE"/>
    <w:rsid w:val="79B7654A"/>
    <w:rsid w:val="7A364017"/>
    <w:rsid w:val="7A373A66"/>
    <w:rsid w:val="7A404A66"/>
    <w:rsid w:val="7A422084"/>
    <w:rsid w:val="7A790DB2"/>
    <w:rsid w:val="7A8265E1"/>
    <w:rsid w:val="7AA17325"/>
    <w:rsid w:val="7ABC10AC"/>
    <w:rsid w:val="7B686D42"/>
    <w:rsid w:val="7B7921AD"/>
    <w:rsid w:val="7B841746"/>
    <w:rsid w:val="7C2C3B9E"/>
    <w:rsid w:val="7C354A36"/>
    <w:rsid w:val="7C6900D7"/>
    <w:rsid w:val="7C6C5AC7"/>
    <w:rsid w:val="7CC6544B"/>
    <w:rsid w:val="7CFF5261"/>
    <w:rsid w:val="7D0239FF"/>
    <w:rsid w:val="7D5E40CD"/>
    <w:rsid w:val="7DCD56F2"/>
    <w:rsid w:val="7DDE2AF2"/>
    <w:rsid w:val="7E6346FB"/>
    <w:rsid w:val="7E7B0946"/>
    <w:rsid w:val="7EDE2EEB"/>
    <w:rsid w:val="7F001CE7"/>
    <w:rsid w:val="7F337BF2"/>
    <w:rsid w:val="7F4339B5"/>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qFormat="1" w:unhideWhenUsed="0" w:uiPriority="9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qFormat="1"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qFormat="1"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qFormat="1"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99" w:semiHidden="0" w:name="Plain Text" w:locked="1"/>
    <w:lsdException w:qFormat="1" w:uiPriority="99"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3"/>
    <w:basedOn w:val="1"/>
    <w:next w:val="1"/>
    <w:qFormat/>
    <w:locked/>
    <w:uiPriority w:val="0"/>
    <w:pPr>
      <w:keepNext/>
      <w:numPr>
        <w:ilvl w:val="2"/>
        <w:numId w:val="1"/>
      </w:numPr>
      <w:outlineLvl w:val="2"/>
    </w:pPr>
    <w:rPr>
      <w:kern w:val="0"/>
      <w:sz w:val="28"/>
      <w:szCs w:val="20"/>
    </w:rPr>
  </w:style>
  <w:style w:type="paragraph" w:styleId="5">
    <w:name w:val="heading 4"/>
    <w:basedOn w:val="1"/>
    <w:next w:val="1"/>
    <w:qFormat/>
    <w:locked/>
    <w:uiPriority w:val="0"/>
    <w:pPr>
      <w:keepNext/>
      <w:keepLines/>
      <w:adjustRightInd w:val="0"/>
      <w:snapToGrid w:val="0"/>
      <w:textAlignment w:val="baseline"/>
      <w:outlineLvl w:val="3"/>
    </w:pPr>
    <w:rPr>
      <w:rFonts w:ascii="黑体" w:eastAsia="黑体"/>
      <w:b/>
      <w:kern w:val="0"/>
      <w:sz w:val="28"/>
      <w:szCs w:val="20"/>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customStyle="1" w:styleId="2">
    <w:name w:val="111"/>
    <w:basedOn w:val="1"/>
    <w:qFormat/>
    <w:uiPriority w:val="99"/>
    <w:pPr>
      <w:widowControl/>
      <w:spacing w:before="100" w:beforeAutospacing="1" w:after="100" w:afterAutospacing="1"/>
      <w:jc w:val="left"/>
    </w:pPr>
    <w:rPr>
      <w:rFonts w:ascii="宋体" w:hAnsi="宋体" w:cs="宋体"/>
    </w:rPr>
  </w:style>
  <w:style w:type="paragraph" w:styleId="6">
    <w:name w:val="E-mail Signature"/>
    <w:basedOn w:val="1"/>
    <w:next w:val="7"/>
    <w:unhideWhenUsed/>
    <w:qFormat/>
    <w:locked/>
    <w:uiPriority w:val="99"/>
    <w:pPr>
      <w:spacing w:line="460" w:lineRule="exact"/>
      <w:ind w:firstLine="200"/>
    </w:pPr>
    <w:rPr>
      <w:szCs w:val="22"/>
    </w:rPr>
  </w:style>
  <w:style w:type="paragraph" w:customStyle="1" w:styleId="7">
    <w:name w:val="文章"/>
    <w:next w:val="8"/>
    <w:qFormat/>
    <w:uiPriority w:val="0"/>
    <w:pPr>
      <w:ind w:firstLine="480"/>
      <w:jc w:val="center"/>
    </w:pPr>
    <w:rPr>
      <w:rFonts w:ascii="Calibri" w:hAnsi="Calibri" w:eastAsia="宋体" w:cs="Times New Roman"/>
      <w:kern w:val="2"/>
      <w:sz w:val="26"/>
      <w:szCs w:val="22"/>
      <w:lang w:val="en-US" w:eastAsia="zh-CN" w:bidi="ar-SA"/>
    </w:rPr>
  </w:style>
  <w:style w:type="paragraph" w:styleId="8">
    <w:name w:val="List"/>
    <w:basedOn w:val="1"/>
    <w:next w:val="9"/>
    <w:qFormat/>
    <w:locked/>
    <w:uiPriority w:val="0"/>
    <w:pPr>
      <w:spacing w:line="320" w:lineRule="exact"/>
      <w:jc w:val="center"/>
    </w:pPr>
    <w:rPr>
      <w:rFonts w:ascii="楷体_GB2312" w:eastAsia="楷体_GB2312"/>
      <w:sz w:val="24"/>
      <w:szCs w:val="20"/>
    </w:rPr>
  </w:style>
  <w:style w:type="paragraph" w:styleId="9">
    <w:name w:val="List Bullet 2"/>
    <w:basedOn w:val="1"/>
    <w:next w:val="10"/>
    <w:qFormat/>
    <w:locked/>
    <w:uiPriority w:val="0"/>
    <w:pPr>
      <w:numPr>
        <w:ilvl w:val="0"/>
        <w:numId w:val="2"/>
      </w:numPr>
    </w:pPr>
  </w:style>
  <w:style w:type="paragraph" w:customStyle="1" w:styleId="10">
    <w:name w:val="xl70"/>
    <w:basedOn w:val="1"/>
    <w:next w:val="11"/>
    <w:qFormat/>
    <w:uiPriority w:val="0"/>
    <w:pPr>
      <w:widowControl/>
      <w:spacing w:before="280" w:after="280"/>
    </w:pPr>
    <w:rPr>
      <w:rFonts w:ascii="宋体"/>
    </w:rPr>
  </w:style>
  <w:style w:type="paragraph" w:customStyle="1" w:styleId="11">
    <w:name w:val="正文缩进1"/>
    <w:basedOn w:val="1"/>
    <w:next w:val="12"/>
    <w:qFormat/>
    <w:uiPriority w:val="0"/>
    <w:pPr>
      <w:ind w:firstLine="420"/>
    </w:pPr>
    <w:rPr>
      <w:sz w:val="28"/>
      <w:szCs w:val="20"/>
    </w:rPr>
  </w:style>
  <w:style w:type="paragraph" w:customStyle="1" w:styleId="12">
    <w:name w:val="td1"/>
    <w:basedOn w:val="1"/>
    <w:next w:val="1"/>
    <w:qFormat/>
    <w:uiPriority w:val="0"/>
    <w:pPr>
      <w:widowControl/>
      <w:spacing w:before="280" w:after="280" w:line="300" w:lineRule="atLeast"/>
      <w:ind w:firstLine="200"/>
    </w:pPr>
    <w:rPr>
      <w:color w:val="000000"/>
      <w:sz w:val="18"/>
    </w:rPr>
  </w:style>
  <w:style w:type="paragraph" w:styleId="13">
    <w:name w:val="Normal Indent"/>
    <w:basedOn w:val="1"/>
    <w:qFormat/>
    <w:locked/>
    <w:uiPriority w:val="0"/>
    <w:pPr>
      <w:ind w:firstLine="420" w:firstLineChars="200"/>
    </w:pPr>
  </w:style>
  <w:style w:type="paragraph" w:styleId="14">
    <w:name w:val="toa heading"/>
    <w:basedOn w:val="1"/>
    <w:next w:val="1"/>
    <w:qFormat/>
    <w:locked/>
    <w:uiPriority w:val="0"/>
    <w:pPr>
      <w:spacing w:before="120"/>
    </w:pPr>
    <w:rPr>
      <w:rFonts w:ascii="Arial" w:hAnsi="Arial"/>
      <w:sz w:val="24"/>
    </w:rPr>
  </w:style>
  <w:style w:type="paragraph" w:styleId="15">
    <w:name w:val="annotation text"/>
    <w:basedOn w:val="1"/>
    <w:link w:val="44"/>
    <w:semiHidden/>
    <w:qFormat/>
    <w:uiPriority w:val="0"/>
    <w:pPr>
      <w:jc w:val="left"/>
    </w:pPr>
    <w:rPr>
      <w:kern w:val="0"/>
      <w:sz w:val="24"/>
      <w:szCs w:val="20"/>
    </w:rPr>
  </w:style>
  <w:style w:type="paragraph" w:styleId="16">
    <w:name w:val="Body Text"/>
    <w:basedOn w:val="1"/>
    <w:next w:val="1"/>
    <w:link w:val="45"/>
    <w:qFormat/>
    <w:uiPriority w:val="0"/>
    <w:pPr>
      <w:widowControl/>
      <w:snapToGrid w:val="0"/>
      <w:spacing w:before="60" w:after="160" w:line="259" w:lineRule="auto"/>
      <w:ind w:right="113"/>
    </w:pPr>
    <w:rPr>
      <w:kern w:val="0"/>
      <w:sz w:val="18"/>
      <w:szCs w:val="20"/>
    </w:rPr>
  </w:style>
  <w:style w:type="paragraph" w:styleId="17">
    <w:name w:val="Body Text Indent"/>
    <w:basedOn w:val="1"/>
    <w:next w:val="1"/>
    <w:link w:val="46"/>
    <w:qFormat/>
    <w:uiPriority w:val="0"/>
    <w:pPr>
      <w:spacing w:after="120"/>
      <w:ind w:left="420" w:leftChars="200"/>
    </w:pPr>
    <w:rPr>
      <w:kern w:val="0"/>
      <w:sz w:val="24"/>
      <w:szCs w:val="20"/>
    </w:rPr>
  </w:style>
  <w:style w:type="paragraph" w:styleId="18">
    <w:name w:val="Plain Text"/>
    <w:basedOn w:val="1"/>
    <w:qFormat/>
    <w:locked/>
    <w:uiPriority w:val="99"/>
    <w:pPr>
      <w:widowControl/>
    </w:pPr>
    <w:rPr>
      <w:rFonts w:hAnsi="Courier New"/>
      <w:szCs w:val="20"/>
    </w:rPr>
  </w:style>
  <w:style w:type="paragraph" w:styleId="19">
    <w:name w:val="List Bullet 5"/>
    <w:basedOn w:val="1"/>
    <w:qFormat/>
    <w:locked/>
    <w:uiPriority w:val="0"/>
    <w:pPr>
      <w:numPr>
        <w:ilvl w:val="0"/>
        <w:numId w:val="3"/>
      </w:numPr>
    </w:pPr>
  </w:style>
  <w:style w:type="paragraph" w:styleId="20">
    <w:name w:val="Date"/>
    <w:basedOn w:val="1"/>
    <w:next w:val="1"/>
    <w:link w:val="47"/>
    <w:qFormat/>
    <w:uiPriority w:val="0"/>
    <w:pPr>
      <w:ind w:left="100" w:leftChars="2500"/>
    </w:pPr>
    <w:rPr>
      <w:kern w:val="0"/>
      <w:sz w:val="24"/>
      <w:szCs w:val="20"/>
    </w:rPr>
  </w:style>
  <w:style w:type="paragraph" w:styleId="21">
    <w:name w:val="Body Text Indent 2"/>
    <w:basedOn w:val="1"/>
    <w:qFormat/>
    <w:locked/>
    <w:uiPriority w:val="0"/>
    <w:pPr>
      <w:tabs>
        <w:tab w:val="left" w:pos="1200"/>
      </w:tabs>
      <w:spacing w:line="400" w:lineRule="exact"/>
      <w:ind w:firstLine="480" w:firstLineChars="200"/>
    </w:pPr>
    <w:rPr>
      <w:color w:val="000000"/>
      <w:kern w:val="0"/>
      <w:sz w:val="24"/>
      <w:szCs w:val="20"/>
    </w:rPr>
  </w:style>
  <w:style w:type="paragraph" w:styleId="22">
    <w:name w:val="Balloon Text"/>
    <w:basedOn w:val="1"/>
    <w:link w:val="48"/>
    <w:semiHidden/>
    <w:qFormat/>
    <w:uiPriority w:val="0"/>
    <w:rPr>
      <w:kern w:val="0"/>
      <w:sz w:val="18"/>
      <w:szCs w:val="20"/>
    </w:rPr>
  </w:style>
  <w:style w:type="paragraph" w:styleId="23">
    <w:name w:val="footer"/>
    <w:basedOn w:val="1"/>
    <w:link w:val="49"/>
    <w:qFormat/>
    <w:uiPriority w:val="99"/>
    <w:pPr>
      <w:tabs>
        <w:tab w:val="center" w:pos="4153"/>
        <w:tab w:val="right" w:pos="8306"/>
      </w:tabs>
      <w:snapToGrid w:val="0"/>
      <w:jc w:val="left"/>
    </w:pPr>
    <w:rPr>
      <w:kern w:val="0"/>
      <w:sz w:val="18"/>
      <w:szCs w:val="20"/>
    </w:rPr>
  </w:style>
  <w:style w:type="paragraph" w:styleId="24">
    <w:name w:val="header"/>
    <w:basedOn w:val="1"/>
    <w:link w:val="50"/>
    <w:qFormat/>
    <w:uiPriority w:val="0"/>
    <w:pPr>
      <w:pBdr>
        <w:bottom w:val="single" w:color="auto" w:sz="6" w:space="1"/>
      </w:pBdr>
      <w:tabs>
        <w:tab w:val="center" w:pos="4153"/>
        <w:tab w:val="right" w:pos="8306"/>
      </w:tabs>
      <w:snapToGrid w:val="0"/>
      <w:jc w:val="center"/>
    </w:pPr>
    <w:rPr>
      <w:kern w:val="0"/>
      <w:sz w:val="18"/>
      <w:szCs w:val="20"/>
    </w:rPr>
  </w:style>
  <w:style w:type="paragraph" w:styleId="25">
    <w:name w:val="index heading"/>
    <w:basedOn w:val="1"/>
    <w:next w:val="26"/>
    <w:qFormat/>
    <w:locked/>
    <w:uiPriority w:val="0"/>
    <w:rPr>
      <w:szCs w:val="20"/>
    </w:rPr>
  </w:style>
  <w:style w:type="paragraph" w:styleId="26">
    <w:name w:val="index 1"/>
    <w:basedOn w:val="1"/>
    <w:next w:val="1"/>
    <w:semiHidden/>
    <w:qFormat/>
    <w:locked/>
    <w:uiPriority w:val="0"/>
    <w:pPr>
      <w:ind w:firstLine="210" w:firstLineChars="100"/>
    </w:pPr>
  </w:style>
  <w:style w:type="paragraph" w:styleId="27">
    <w:name w:val="footnote text"/>
    <w:basedOn w:val="1"/>
    <w:qFormat/>
    <w:locked/>
    <w:uiPriority w:val="0"/>
    <w:pPr>
      <w:pBdr>
        <w:top w:val="single" w:color="auto" w:sz="4" w:space="1"/>
      </w:pBdr>
      <w:snapToGrid w:val="0"/>
    </w:pPr>
    <w:rPr>
      <w:sz w:val="18"/>
      <w:szCs w:val="18"/>
    </w:rPr>
  </w:style>
  <w:style w:type="paragraph" w:styleId="28">
    <w:name w:val="toc 2"/>
    <w:basedOn w:val="1"/>
    <w:next w:val="6"/>
    <w:qFormat/>
    <w:locked/>
    <w:uiPriority w:val="99"/>
    <w:pPr>
      <w:ind w:left="240"/>
      <w:jc w:val="left"/>
    </w:pPr>
    <w:rPr>
      <w:rFonts w:ascii="Calibri" w:hAnsi="Calibri"/>
      <w:smallCaps/>
      <w:sz w:val="20"/>
      <w:szCs w:val="20"/>
    </w:rPr>
  </w:style>
  <w:style w:type="paragraph" w:styleId="29">
    <w:name w:val="Normal (Web)"/>
    <w:basedOn w:val="1"/>
    <w:link w:val="51"/>
    <w:qFormat/>
    <w:uiPriority w:val="0"/>
    <w:pPr>
      <w:widowControl/>
      <w:spacing w:before="100" w:beforeAutospacing="1" w:after="100" w:afterAutospacing="1"/>
      <w:jc w:val="left"/>
    </w:pPr>
    <w:rPr>
      <w:rFonts w:ascii="宋体" w:hAnsi="宋体"/>
      <w:kern w:val="0"/>
      <w:sz w:val="24"/>
      <w:szCs w:val="20"/>
    </w:rPr>
  </w:style>
  <w:style w:type="paragraph" w:styleId="30">
    <w:name w:val="annotation subject"/>
    <w:basedOn w:val="15"/>
    <w:next w:val="15"/>
    <w:link w:val="52"/>
    <w:semiHidden/>
    <w:qFormat/>
    <w:uiPriority w:val="0"/>
    <w:rPr>
      <w:b/>
    </w:rPr>
  </w:style>
  <w:style w:type="paragraph" w:styleId="31">
    <w:name w:val="Body Text First Indent"/>
    <w:basedOn w:val="16"/>
    <w:next w:val="32"/>
    <w:qFormat/>
    <w:locked/>
    <w:uiPriority w:val="0"/>
    <w:pPr>
      <w:ind w:firstLine="420" w:firstLineChars="100"/>
    </w:pPr>
  </w:style>
  <w:style w:type="paragraph" w:styleId="32">
    <w:name w:val="Body Text First Indent 2"/>
    <w:basedOn w:val="17"/>
    <w:next w:val="31"/>
    <w:qFormat/>
    <w:locked/>
    <w:uiPriority w:val="0"/>
    <w:pPr>
      <w:ind w:firstLine="420" w:firstLineChars="200"/>
    </w:pPr>
  </w:style>
  <w:style w:type="table" w:styleId="34">
    <w:name w:val="Table Grid"/>
    <w:basedOn w:val="3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basedOn w:val="35"/>
    <w:qFormat/>
    <w:locked/>
    <w:uiPriority w:val="0"/>
    <w:rPr>
      <w:b/>
      <w:bCs/>
    </w:rPr>
  </w:style>
  <w:style w:type="character" w:styleId="37">
    <w:name w:val="page number"/>
    <w:basedOn w:val="35"/>
    <w:qFormat/>
    <w:locked/>
    <w:uiPriority w:val="0"/>
  </w:style>
  <w:style w:type="character" w:styleId="38">
    <w:name w:val="FollowedHyperlink"/>
    <w:basedOn w:val="35"/>
    <w:qFormat/>
    <w:locked/>
    <w:uiPriority w:val="0"/>
    <w:rPr>
      <w:color w:val="333333"/>
      <w:u w:val="none"/>
    </w:rPr>
  </w:style>
  <w:style w:type="character" w:styleId="39">
    <w:name w:val="Hyperlink"/>
    <w:basedOn w:val="35"/>
    <w:qFormat/>
    <w:locked/>
    <w:uiPriority w:val="0"/>
    <w:rPr>
      <w:color w:val="333333"/>
      <w:u w:val="none"/>
    </w:rPr>
  </w:style>
  <w:style w:type="character" w:styleId="40">
    <w:name w:val="annotation reference"/>
    <w:semiHidden/>
    <w:qFormat/>
    <w:uiPriority w:val="0"/>
    <w:rPr>
      <w:sz w:val="21"/>
    </w:rPr>
  </w:style>
  <w:style w:type="paragraph" w:customStyle="1" w:styleId="41">
    <w:name w:val="样式 正文文本缩进 + 行距: 1.5 倍行距"/>
    <w:basedOn w:val="1"/>
    <w:qFormat/>
    <w:uiPriority w:val="0"/>
    <w:pPr>
      <w:spacing w:after="120"/>
      <w:ind w:left="90" w:leftChars="32" w:firstLine="560" w:firstLineChars="200"/>
    </w:pPr>
    <w:rPr>
      <w:rFonts w:cs="宋体"/>
    </w:rPr>
  </w:style>
  <w:style w:type="paragraph" w:customStyle="1" w:styleId="42">
    <w:name w:val="表格"/>
    <w:basedOn w:val="1"/>
    <w:next w:val="1"/>
    <w:link w:val="55"/>
    <w:qFormat/>
    <w:uiPriority w:val="0"/>
    <w:pPr>
      <w:adjustRightInd w:val="0"/>
      <w:snapToGrid w:val="0"/>
      <w:spacing w:beforeLines="10" w:afterLines="10" w:line="259" w:lineRule="auto"/>
      <w:jc w:val="center"/>
    </w:pPr>
    <w:rPr>
      <w:rFonts w:ascii="宋体"/>
      <w:kern w:val="0"/>
      <w:szCs w:val="20"/>
    </w:rPr>
  </w:style>
  <w:style w:type="paragraph" w:customStyle="1" w:styleId="43">
    <w:name w:val="表格文字"/>
    <w:basedOn w:val="21"/>
    <w:next w:val="1"/>
    <w:qFormat/>
    <w:uiPriority w:val="0"/>
    <w:pPr>
      <w:jc w:val="center"/>
    </w:pPr>
    <w:rPr>
      <w:rFonts w:ascii="仿宋_GB2312" w:hAnsi="Arial Black" w:eastAsia="仿宋_GB2312"/>
      <w:kern w:val="44"/>
    </w:rPr>
  </w:style>
  <w:style w:type="character" w:customStyle="1" w:styleId="44">
    <w:name w:val="批注文字 字符"/>
    <w:link w:val="15"/>
    <w:qFormat/>
    <w:locked/>
    <w:uiPriority w:val="0"/>
    <w:rPr>
      <w:rFonts w:ascii="Times New Roman" w:hAnsi="Times New Roman" w:eastAsia="宋体"/>
      <w:sz w:val="24"/>
    </w:rPr>
  </w:style>
  <w:style w:type="character" w:customStyle="1" w:styleId="45">
    <w:name w:val="正文文本 字符"/>
    <w:link w:val="16"/>
    <w:qFormat/>
    <w:locked/>
    <w:uiPriority w:val="0"/>
    <w:rPr>
      <w:sz w:val="18"/>
    </w:rPr>
  </w:style>
  <w:style w:type="character" w:customStyle="1" w:styleId="46">
    <w:name w:val="正文文本缩进 字符"/>
    <w:link w:val="17"/>
    <w:semiHidden/>
    <w:qFormat/>
    <w:locked/>
    <w:uiPriority w:val="0"/>
    <w:rPr>
      <w:rFonts w:ascii="Times New Roman" w:hAnsi="Times New Roman" w:eastAsia="宋体"/>
      <w:sz w:val="24"/>
    </w:rPr>
  </w:style>
  <w:style w:type="character" w:customStyle="1" w:styleId="47">
    <w:name w:val="日期 字符1"/>
    <w:link w:val="20"/>
    <w:qFormat/>
    <w:locked/>
    <w:uiPriority w:val="0"/>
    <w:rPr>
      <w:rFonts w:ascii="Times New Roman" w:hAnsi="Times New Roman" w:eastAsia="宋体"/>
      <w:sz w:val="24"/>
    </w:rPr>
  </w:style>
  <w:style w:type="character" w:customStyle="1" w:styleId="48">
    <w:name w:val="批注框文本 字符"/>
    <w:link w:val="22"/>
    <w:semiHidden/>
    <w:qFormat/>
    <w:locked/>
    <w:uiPriority w:val="0"/>
    <w:rPr>
      <w:rFonts w:ascii="Times New Roman" w:hAnsi="Times New Roman" w:eastAsia="宋体"/>
      <w:sz w:val="18"/>
    </w:rPr>
  </w:style>
  <w:style w:type="character" w:customStyle="1" w:styleId="49">
    <w:name w:val="页脚 字符1"/>
    <w:link w:val="23"/>
    <w:qFormat/>
    <w:locked/>
    <w:uiPriority w:val="99"/>
    <w:rPr>
      <w:sz w:val="18"/>
    </w:rPr>
  </w:style>
  <w:style w:type="character" w:customStyle="1" w:styleId="50">
    <w:name w:val="页眉 字符"/>
    <w:link w:val="24"/>
    <w:qFormat/>
    <w:locked/>
    <w:uiPriority w:val="0"/>
    <w:rPr>
      <w:sz w:val="18"/>
    </w:rPr>
  </w:style>
  <w:style w:type="character" w:customStyle="1" w:styleId="51">
    <w:name w:val="普通(网站) 字符"/>
    <w:link w:val="29"/>
    <w:qFormat/>
    <w:locked/>
    <w:uiPriority w:val="0"/>
    <w:rPr>
      <w:rFonts w:ascii="宋体" w:hAnsi="宋体" w:eastAsia="宋体"/>
      <w:sz w:val="24"/>
    </w:rPr>
  </w:style>
  <w:style w:type="character" w:customStyle="1" w:styleId="52">
    <w:name w:val="批注主题 字符"/>
    <w:link w:val="30"/>
    <w:semiHidden/>
    <w:qFormat/>
    <w:locked/>
    <w:uiPriority w:val="0"/>
    <w:rPr>
      <w:rFonts w:ascii="Times New Roman" w:hAnsi="Times New Roman" w:eastAsia="宋体"/>
      <w:b/>
      <w:kern w:val="2"/>
      <w:sz w:val="24"/>
    </w:rPr>
  </w:style>
  <w:style w:type="character" w:customStyle="1" w:styleId="53">
    <w:name w:val="页脚 字符"/>
    <w:basedOn w:val="35"/>
    <w:qFormat/>
    <w:uiPriority w:val="99"/>
  </w:style>
  <w:style w:type="character" w:customStyle="1" w:styleId="54">
    <w:name w:val="正文文本 字符1"/>
    <w:semiHidden/>
    <w:qFormat/>
    <w:uiPriority w:val="0"/>
    <w:rPr>
      <w:rFonts w:ascii="Times New Roman" w:hAnsi="Times New Roman" w:eastAsia="宋体"/>
      <w:sz w:val="24"/>
    </w:rPr>
  </w:style>
  <w:style w:type="character" w:customStyle="1" w:styleId="55">
    <w:name w:val="表格 Char"/>
    <w:link w:val="42"/>
    <w:qFormat/>
    <w:locked/>
    <w:uiPriority w:val="0"/>
    <w:rPr>
      <w:rFonts w:ascii="宋体"/>
      <w:sz w:val="21"/>
    </w:rPr>
  </w:style>
  <w:style w:type="character" w:customStyle="1" w:styleId="56">
    <w:name w:val="日期 字符"/>
    <w:semiHidden/>
    <w:qFormat/>
    <w:uiPriority w:val="0"/>
    <w:rPr>
      <w:rFonts w:ascii="Times New Roman" w:hAnsi="Times New Roman" w:eastAsia="宋体"/>
      <w:sz w:val="24"/>
    </w:rPr>
  </w:style>
  <w:style w:type="character" w:customStyle="1" w:styleId="57">
    <w:name w:val="批注文字 字符1"/>
    <w:semiHidden/>
    <w:qFormat/>
    <w:uiPriority w:val="0"/>
    <w:rPr>
      <w:rFonts w:ascii="Times New Roman" w:hAnsi="Times New Roman" w:eastAsia="宋体"/>
      <w:sz w:val="24"/>
    </w:rPr>
  </w:style>
  <w:style w:type="paragraph" w:customStyle="1" w:styleId="5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0">
    <w:name w:val="Table Paragraph"/>
    <w:basedOn w:val="1"/>
    <w:qFormat/>
    <w:uiPriority w:val="1"/>
    <w:rPr>
      <w:rFonts w:ascii="宋体" w:hAnsi="宋体" w:cs="宋体"/>
      <w:lang w:val="zh-CN" w:bidi="zh-CN"/>
    </w:rPr>
  </w:style>
  <w:style w:type="paragraph" w:customStyle="1" w:styleId="61">
    <w:name w:val="一般正文格式"/>
    <w:basedOn w:val="1"/>
    <w:qFormat/>
    <w:uiPriority w:val="0"/>
    <w:pPr>
      <w:spacing w:line="440" w:lineRule="atLeast"/>
      <w:ind w:firstLine="200" w:firstLineChars="200"/>
      <w:jc w:val="left"/>
    </w:pPr>
    <w:rPr>
      <w:bCs/>
      <w:sz w:val="24"/>
    </w:rPr>
  </w:style>
  <w:style w:type="paragraph" w:customStyle="1" w:styleId="62">
    <w:name w:val="图表文字"/>
    <w:basedOn w:val="1"/>
    <w:qFormat/>
    <w:uiPriority w:val="0"/>
    <w:pPr>
      <w:jc w:val="center"/>
    </w:pPr>
    <w:rPr>
      <w:rFonts w:ascii="仿宋_GB2312" w:eastAsia="仿宋_GB2312"/>
      <w:kern w:val="0"/>
      <w:sz w:val="24"/>
      <w:szCs w:val="20"/>
    </w:rPr>
  </w:style>
  <w:style w:type="paragraph" w:customStyle="1" w:styleId="63">
    <w:name w:val="Default"/>
    <w:basedOn w:val="64"/>
    <w:next w:val="65"/>
    <w:qFormat/>
    <w:uiPriority w:val="0"/>
    <w:pPr>
      <w:widowControl w:val="0"/>
      <w:autoSpaceDE w:val="0"/>
      <w:autoSpaceDN w:val="0"/>
      <w:adjustRightInd w:val="0"/>
    </w:pPr>
    <w:rPr>
      <w:rFonts w:ascii="宋体" w:hAnsi="宋体" w:eastAsia="宋体" w:cs="宋体"/>
      <w:color w:val="000000"/>
      <w:sz w:val="24"/>
    </w:rPr>
  </w:style>
  <w:style w:type="paragraph" w:customStyle="1" w:styleId="64">
    <w:name w:val="标题 段落4级"/>
    <w:next w:val="15"/>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paragraph" w:customStyle="1" w:styleId="65">
    <w:name w:val="样式35"/>
    <w:next w:val="66"/>
    <w:qFormat/>
    <w:uiPriority w:val="0"/>
    <w:pPr>
      <w:widowControl w:val="0"/>
      <w:spacing w:line="312" w:lineRule="auto"/>
      <w:ind w:firstLine="567"/>
      <w:jc w:val="both"/>
    </w:pPr>
    <w:rPr>
      <w:rFonts w:ascii="宋体" w:hAnsi="Calibri" w:eastAsia="宋体" w:cs="Times New Roman"/>
      <w:kern w:val="2"/>
      <w:sz w:val="21"/>
      <w:szCs w:val="22"/>
      <w:lang w:val="en-US" w:eastAsia="zh-CN" w:bidi="ar-SA"/>
    </w:rPr>
  </w:style>
  <w:style w:type="paragraph" w:customStyle="1" w:styleId="66">
    <w:name w:val="font6"/>
    <w:next w:val="28"/>
    <w:qFormat/>
    <w:uiPriority w:val="0"/>
    <w:pPr>
      <w:spacing w:before="280" w:after="280"/>
      <w:jc w:val="both"/>
    </w:pPr>
    <w:rPr>
      <w:rFonts w:ascii="Calibri" w:hAnsi="Calibri" w:eastAsia="宋体" w:cs="Times New Roman"/>
      <w:kern w:val="2"/>
      <w:sz w:val="21"/>
      <w:szCs w:val="22"/>
      <w:lang w:val="en-US" w:eastAsia="zh-CN" w:bidi="ar-SA"/>
    </w:rPr>
  </w:style>
  <w:style w:type="paragraph" w:customStyle="1" w:styleId="67">
    <w:name w:val="a四级标题"/>
    <w:basedOn w:val="1"/>
    <w:qFormat/>
    <w:uiPriority w:val="0"/>
    <w:pPr>
      <w:spacing w:line="360" w:lineRule="auto"/>
    </w:pPr>
    <w:rPr>
      <w:b/>
    </w:rPr>
  </w:style>
  <w:style w:type="paragraph" w:customStyle="1" w:styleId="68">
    <w:name w:val="表标题"/>
    <w:basedOn w:val="16"/>
    <w:next w:val="16"/>
    <w:qFormat/>
    <w:uiPriority w:val="0"/>
    <w:pPr>
      <w:spacing w:line="480" w:lineRule="exact"/>
      <w:jc w:val="center"/>
    </w:pPr>
    <w:rPr>
      <w:rFonts w:hAnsi="宋体"/>
      <w:color w:val="000000"/>
      <w:sz w:val="24"/>
    </w:rPr>
  </w:style>
  <w:style w:type="paragraph" w:customStyle="1" w:styleId="69">
    <w:name w:val="xl4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70">
    <w:name w:val="表题"/>
    <w:basedOn w:val="1"/>
    <w:qFormat/>
    <w:uiPriority w:val="0"/>
    <w:pPr>
      <w:snapToGrid w:val="0"/>
      <w:jc w:val="center"/>
    </w:pPr>
    <w:rPr>
      <w:rFonts w:eastAsia="黑体"/>
      <w:sz w:val="24"/>
      <w:szCs w:val="20"/>
    </w:rPr>
  </w:style>
  <w:style w:type="character" w:customStyle="1" w:styleId="71">
    <w:name w:val="Char2112"/>
    <w:qFormat/>
    <w:uiPriority w:val="0"/>
    <w:rPr>
      <w:rFonts w:ascii="黑体" w:eastAsia="黑体"/>
      <w:kern w:val="44"/>
      <w:sz w:val="44"/>
      <w:lang w:val="en-US" w:eastAsia="zh-CN" w:bidi="ar-SA"/>
    </w:rPr>
  </w:style>
  <w:style w:type="paragraph" w:customStyle="1" w:styleId="72">
    <w:name w:val="xl27"/>
    <w:basedOn w:val="1"/>
    <w:qFormat/>
    <w:uiPriority w:val="0"/>
    <w:pPr>
      <w:widowControl/>
      <w:pBdr>
        <w:bottom w:val="single" w:color="auto" w:sz="12" w:space="0"/>
      </w:pBdr>
      <w:spacing w:before="100" w:after="100"/>
      <w:jc w:val="center"/>
    </w:pPr>
    <w:rPr>
      <w:rFonts w:ascii="宋体" w:hAnsi="宋体"/>
      <w:kern w:val="0"/>
      <w:szCs w:val="20"/>
    </w:rPr>
  </w:style>
  <w:style w:type="character" w:customStyle="1" w:styleId="73">
    <w:name w:val="font11"/>
    <w:qFormat/>
    <w:uiPriority w:val="0"/>
    <w:rPr>
      <w:rFonts w:hint="default" w:ascii="Times New Roman" w:hAnsi="Times New Roman" w:cs="Times New Roman"/>
      <w:color w:val="0D0D0D"/>
      <w:sz w:val="21"/>
      <w:szCs w:val="21"/>
      <w:u w:val="none"/>
      <w:vertAlign w:val="subscript"/>
    </w:rPr>
  </w:style>
  <w:style w:type="character" w:customStyle="1" w:styleId="74">
    <w:name w:val="font21"/>
    <w:qFormat/>
    <w:uiPriority w:val="0"/>
    <w:rPr>
      <w:rFonts w:hint="default" w:ascii="Times New Roman" w:hAnsi="Times New Roman" w:cs="Times New Roman"/>
      <w:color w:val="0D0D0D"/>
      <w:sz w:val="21"/>
      <w:szCs w:val="21"/>
      <w:u w:val="none"/>
      <w:vertAlign w:val="subscript"/>
    </w:rPr>
  </w:style>
  <w:style w:type="paragraph" w:customStyle="1" w:styleId="75">
    <w:name w:val="样式 列表 + 左侧:  0 厘米 悬挂缩进: 5.85 字符"/>
    <w:basedOn w:val="8"/>
    <w:qFormat/>
    <w:uiPriority w:val="0"/>
    <w:pPr>
      <w:spacing w:line="240" w:lineRule="auto"/>
    </w:pPr>
    <w:rPr>
      <w:rFonts w:ascii="Times New Roman" w:eastAsia="宋体"/>
      <w:color w:val="FF0000"/>
      <w:sz w:val="21"/>
      <w:szCs w:val="21"/>
      <w:lang w:val="zh-CN"/>
    </w:rPr>
  </w:style>
  <w:style w:type="paragraph" w:customStyle="1" w:styleId="76">
    <w:name w:val="+正文"/>
    <w:basedOn w:val="1"/>
    <w:qFormat/>
    <w:uiPriority w:val="0"/>
    <w:pPr>
      <w:spacing w:line="360" w:lineRule="auto"/>
      <w:ind w:firstLine="200" w:firstLineChars="200"/>
    </w:pPr>
    <w:rPr>
      <w:sz w:val="28"/>
      <w:szCs w:val="28"/>
    </w:rPr>
  </w:style>
  <w:style w:type="paragraph" w:customStyle="1" w:styleId="77">
    <w:name w:val=".."/>
    <w:basedOn w:val="1"/>
    <w:next w:val="1"/>
    <w:qFormat/>
    <w:uiPriority w:val="0"/>
    <w:pPr>
      <w:autoSpaceDE w:val="0"/>
      <w:autoSpaceDN w:val="0"/>
      <w:adjustRightInd w:val="0"/>
      <w:jc w:val="center"/>
    </w:pPr>
    <w:rPr>
      <w:rFonts w:ascii=".." w:eastAsia=".."/>
      <w:kern w:val="0"/>
    </w:rPr>
  </w:style>
  <w:style w:type="paragraph" w:customStyle="1" w:styleId="78">
    <w:name w:val="列出段落2"/>
    <w:basedOn w:val="1"/>
    <w:qFormat/>
    <w:uiPriority w:val="1"/>
    <w:pPr>
      <w:ind w:firstLine="420" w:firstLineChars="200"/>
    </w:pPr>
    <w:rPr>
      <w:rFonts w:ascii="Calibri" w:hAnsi="Calibri"/>
      <w:szCs w:val="22"/>
    </w:rPr>
  </w:style>
  <w:style w:type="paragraph" w:customStyle="1" w:styleId="79">
    <w:name w:val="引用1"/>
    <w:basedOn w:val="1"/>
    <w:next w:val="1"/>
    <w:qFormat/>
    <w:uiPriority w:val="99"/>
    <w:pPr>
      <w:jc w:val="center"/>
    </w:pPr>
    <w:rPr>
      <w:rFonts w:eastAsia="Times New Roman"/>
      <w:iCs/>
      <w:color w:val="000000"/>
    </w:rPr>
  </w:style>
  <w:style w:type="paragraph" w:customStyle="1" w:styleId="80">
    <w:name w:val="列出段落1"/>
    <w:basedOn w:val="1"/>
    <w:qFormat/>
    <w:uiPriority w:val="34"/>
    <w:pPr>
      <w:ind w:firstLine="420" w:firstLineChars="200"/>
    </w:pPr>
  </w:style>
  <w:style w:type="paragraph" w:customStyle="1" w:styleId="81">
    <w:name w:val="表格头"/>
    <w:basedOn w:val="1"/>
    <w:qFormat/>
    <w:uiPriority w:val="0"/>
    <w:pPr>
      <w:jc w:val="center"/>
    </w:pPr>
    <w:rPr>
      <w:b/>
      <w:bCs/>
    </w:rPr>
  </w:style>
  <w:style w:type="table" w:customStyle="1" w:styleId="82">
    <w:name w:val="Table Normal"/>
    <w:unhideWhenUsed/>
    <w:qFormat/>
    <w:uiPriority w:val="2"/>
    <w:pPr>
      <w:widowControl w:val="0"/>
      <w:autoSpaceDE w:val="0"/>
      <w:autoSpaceDN w:val="0"/>
      <w:spacing w:line="360" w:lineRule="auto"/>
      <w:ind w:firstLine="200"/>
    </w:pPr>
    <w:rPr>
      <w:rFonts w:ascii="Calibri" w:hAnsi="Calibri"/>
      <w:sz w:val="22"/>
      <w:szCs w:val="22"/>
      <w:lang w:eastAsia="en-US"/>
    </w:rPr>
    <w:tblPr>
      <w:tblCellMar>
        <w:top w:w="0" w:type="dxa"/>
        <w:left w:w="0" w:type="dxa"/>
        <w:bottom w:w="0" w:type="dxa"/>
        <w:right w:w="0" w:type="dxa"/>
      </w:tblCellMar>
    </w:tblPr>
  </w:style>
  <w:style w:type="paragraph" w:customStyle="1" w:styleId="83">
    <w:name w:val="样式 四号 左侧:  1.53 厘米"/>
    <w:basedOn w:val="1"/>
    <w:qFormat/>
    <w:uiPriority w:val="0"/>
    <w:pPr>
      <w:adjustRightInd w:val="0"/>
    </w:pPr>
    <w:rPr>
      <w:w w:val="90"/>
      <w:sz w:val="28"/>
      <w:szCs w:val="28"/>
    </w:rPr>
  </w:style>
  <w:style w:type="paragraph" w:customStyle="1" w:styleId="84">
    <w:name w:val="样式 样式 样式 四号 左侧:  1.53 厘米 + 首行缩进:  2 字符 + 居中 左侧:  2 字符 首行缩进:  2..."/>
    <w:basedOn w:val="85"/>
    <w:qFormat/>
    <w:uiPriority w:val="0"/>
    <w:pPr>
      <w:jc w:val="center"/>
    </w:pPr>
  </w:style>
  <w:style w:type="paragraph" w:customStyle="1" w:styleId="85">
    <w:name w:val="样式 样式 四号 左侧:  1.53 厘米 + 首行缩进:  2 字符"/>
    <w:basedOn w:val="83"/>
    <w:qFormat/>
    <w:uiPriority w:val="0"/>
    <w:pPr>
      <w:ind w:left="200" w:leftChars="200"/>
    </w:pPr>
    <w:rPr>
      <w:szCs w:val="20"/>
    </w:rPr>
  </w:style>
  <w:style w:type="paragraph" w:styleId="86">
    <w:name w:val="List Paragraph"/>
    <w:basedOn w:val="1"/>
    <w:qFormat/>
    <w:uiPriority w:val="34"/>
    <w:pPr>
      <w:ind w:firstLine="420" w:firstLineChars="200"/>
    </w:pPr>
  </w:style>
  <w:style w:type="paragraph" w:customStyle="1" w:styleId="87">
    <w:name w:val="【表格】"/>
    <w:next w:val="1"/>
    <w:qFormat/>
    <w:uiPriority w:val="0"/>
    <w:pPr>
      <w:jc w:val="center"/>
    </w:pPr>
    <w:rPr>
      <w:rFonts w:ascii="Times New Roman" w:hAnsi="Times New Roman" w:eastAsia="宋体" w:cs="Times New Roman"/>
      <w:sz w:val="21"/>
      <w:szCs w:val="24"/>
      <w:lang w:val="en-US" w:eastAsia="zh-CN" w:bidi="ar-SA"/>
    </w:rPr>
  </w:style>
  <w:style w:type="paragraph" w:customStyle="1" w:styleId="88">
    <w:name w:val="样式1"/>
    <w:basedOn w:val="1"/>
    <w:qFormat/>
    <w:uiPriority w:val="0"/>
    <w:pPr>
      <w:spacing w:line="360" w:lineRule="auto"/>
      <w:ind w:firstLine="510"/>
    </w:pPr>
    <w:rPr>
      <w:rFonts w:ascii="宋体" w:hAnsi="宋体"/>
      <w:sz w:val="24"/>
      <w:szCs w:val="20"/>
    </w:rPr>
  </w:style>
  <w:style w:type="paragraph" w:customStyle="1" w:styleId="89">
    <w:name w:val="列表1"/>
    <w:basedOn w:val="1"/>
    <w:qFormat/>
    <w:uiPriority w:val="0"/>
    <w:pPr>
      <w:spacing w:line="400" w:lineRule="exact"/>
      <w:jc w:val="center"/>
    </w:pPr>
    <w:rPr>
      <w:rFonts w:ascii="宋体" w:hAnsi="宋体"/>
      <w:sz w:val="24"/>
      <w:szCs w:val="20"/>
    </w:rPr>
  </w:style>
  <w:style w:type="paragraph" w:customStyle="1" w:styleId="90">
    <w:name w:val="日期1"/>
    <w:basedOn w:val="1"/>
    <w:next w:val="1"/>
    <w:qFormat/>
    <w:uiPriority w:val="0"/>
    <w:rPr>
      <w:rFonts w:ascii="宋体" w:hAnsi="Courier New"/>
      <w:sz w:val="24"/>
      <w:szCs w:val="20"/>
    </w:rPr>
  </w:style>
  <w:style w:type="paragraph" w:customStyle="1" w:styleId="91">
    <w:name w:val="索引 11"/>
    <w:basedOn w:val="1"/>
    <w:next w:val="1"/>
    <w:qFormat/>
    <w:uiPriority w:val="0"/>
    <w:pPr>
      <w:spacing w:before="120"/>
    </w:pPr>
    <w:rPr>
      <w:color w:val="0000FF"/>
      <w:sz w:val="24"/>
    </w:rPr>
  </w:style>
  <w:style w:type="paragraph" w:customStyle="1" w:styleId="92">
    <w:name w:val="Other|1"/>
    <w:basedOn w:val="1"/>
    <w:qFormat/>
    <w:uiPriority w:val="0"/>
    <w:pPr>
      <w:spacing w:line="417" w:lineRule="auto"/>
      <w:ind w:firstLine="400"/>
    </w:pPr>
  </w:style>
  <w:style w:type="paragraph" w:customStyle="1" w:styleId="93">
    <w:name w:val="表格 普通文字"/>
    <w:basedOn w:val="1"/>
    <w:qFormat/>
    <w:uiPriority w:val="99"/>
    <w:pPr>
      <w:jc w:val="center"/>
    </w:pPr>
    <w:rPr>
      <w:rFonts w:ascii="Arial" w:hAnsi="Arial" w:eastAsia="仿宋_GB2312"/>
      <w:szCs w:val="21"/>
      <w:lang w:val="zh-CN"/>
    </w:rPr>
  </w:style>
  <w:style w:type="paragraph" w:customStyle="1" w:styleId="94">
    <w:name w:val="环评表格正文"/>
    <w:basedOn w:val="95"/>
    <w:qFormat/>
    <w:uiPriority w:val="0"/>
    <w:pPr>
      <w:spacing w:line="240" w:lineRule="auto"/>
      <w:ind w:firstLine="0" w:firstLineChars="0"/>
      <w:jc w:val="center"/>
    </w:pPr>
    <w:rPr>
      <w:sz w:val="18"/>
    </w:rPr>
  </w:style>
  <w:style w:type="paragraph" w:customStyle="1" w:styleId="95">
    <w:name w:val="环评正文"/>
    <w:basedOn w:val="1"/>
    <w:qFormat/>
    <w:uiPriority w:val="0"/>
    <w:pPr>
      <w:spacing w:line="360" w:lineRule="auto"/>
      <w:ind w:firstLine="200" w:firstLineChars="200"/>
    </w:pPr>
  </w:style>
  <w:style w:type="paragraph" w:customStyle="1" w:styleId="96">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6.emf"/><Relationship Id="rId16" Type="http://schemas.openxmlformats.org/officeDocument/2006/relationships/oleObject" Target="embeddings/oleObject2.bin"/><Relationship Id="rId15" Type="http://schemas.openxmlformats.org/officeDocument/2006/relationships/image" Target="media/image5.emf"/><Relationship Id="rId14" Type="http://schemas.openxmlformats.org/officeDocument/2006/relationships/oleObject" Target="embeddings/oleObject1.bin"/><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Q3MDYyOTYyNDkyIiwKCSJHcm91cElkIiA6ICI2MTcyMTE1NTEiLAoJIkltYWdlIiA6ICJpVkJPUncwS0dnb0FBQUFOU1VoRVVnQUFCRE1BQUFLckNBWUFBQURzMHNhdkFBQUFDWEJJV1hNQUFBc1RBQUFMRXdFQW1wd1lBQUFnQUVsRVFWUjRuT3pkZVh4VTVhSC84ZTh6azRXUUJjSWFDUHUrSnpPNGxMcUFBbDdyVWxTdXRxNjFXdXVsMUhxNTl1ZUMrQk5iRmJYV0NzVUZRZVc2dFNJSzF1VzZGZldIdTVjTUVCTVdBVUVRUWlBTDJXY3lNOC92RDVJMGdRUUNKRG1aNVBOK3ZYeGx6bk8yN3duVmtHK2ZjNDRF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Cd2JJelRBUUFBYllPMTltSkp0MHJ5U0lwMU9FNWJGNUNVS2VrUlk4eExUb2NCQUFCb2FaUVpBSUFUVmxWa3ZPWjBqbmJxMThhWXhVNkhBQUFBYUVtVUdRQ0FFMmF0L1Z6U2o1ek8wVTVsR1dQR09CMENBQUNnSlZGbUFBQk9tTFcyUXR4YTRwUktZMHlNMHlFQUFBQmFFbVVHQU9DRVdXdXQweG5hTTJNTVA4OEJBRUM3NG5JNkFBQUFBQUFBd0xHZ3pBQUFBQUFBQUJHRk1nTUFBQUFBQUVRVXlnd0FBQUFBQUJCUktETUFBQUFBQUVCRW9jd0FBQUFBQUFBUmhUSURBQUFBQUFCRUZNb01BQUFBQUFBUVVTZ3pBQUFBQUFCQVJLSE1BQUFBQUFBQUVZVXlBd0FBQUFBQVJCVEtEQUFBQUFBQUVGRW9Nd0FBQUFBQVFFU2h6QUFBQUFBQUFCR0ZNZ01BQUFBQUFFUVV5Z3dBQUFBQUFCQlJvcHdPQUFEQWtienp6anM2OTl4emoybWZhZE9tNmZYWFg1Y2tiZCsrWFRrNU9Tb29LRkJCUVlIMjd0MnIzTnhjOWVqUlE3Tm16V3FPeUFBQUFHaG1sQmtBZ0ZadDNyeDVOV1hHeElrVDFiVnIxenJyZCs3Y3FhKy8vcnJCL1o5NDRnbDk4TUVINnRpeG95b3FLalJseWhRTkhUcFVhV2xwRGU0VERvZTFmdjE2L2ZPZi85VE5OOStzcUtpNlB5NHpNek4xN2JYWDFobWJQbjI2WnMrZVhiUC8vUG56OVk5Ly9FUFdXbDF5eVNXNjZhYWJaSXc1bGtzSEFBQUFBQUROeFRhak04ODhzOTdQMWM0NjY2eWF6Ny81elcvc3BaZGVhazg5OVZSNzZhV1gya3N2dmRRZU9IREFscFdWV1d1dFBlMjAweHAxenFsVHA5cHp6am5IZXIxZTYvZjdEMXUvZnYxNjYvVjZiV2xwYWIzN1AvdnNzL2FTU3k2eGUvYnNzVnUzYnJXVEowKzJLMWFzYU5TNWo0ZlRmLzRBQUFBdGpaa1pBSUJXYWVyVXFaS2swdEpTVFowNlZmUG16Wk1rWFhMSkpYVzJLeTR1cnZuODJHT1BTVHA0bThteVpjdU9lUHhBSUtDWW1KaDYxeTFZc0VDVmxaV0h6YjVvckZkZWVVVXpac3hRU2txS0pPbmlpeS9XVzIrOXBZc3V1dWk0amdjQUFJQzZLRE1BQUszUysrKy9MK25nclNYVm4vdjM3Ni9ubm51dXpuWlhYSEZGemVlUFB2cElqei8rdVBidTNhdkxMcnRNa25UWlpaZHB3NFlOT25EZ2dQeCt2eTY2NkNKVlZsWXFKU1ZGVHovOWRMM25IakZpaERJek00OHJkMTVlbm5KeWNqUjI3Tmlhc1ZHalJ1bVZWMTQ1cnVNQkFBRGdjSlFaQUlCV2I5ZXVYZXJTcFl0S1Nrb09tNWtoU2RkZWU2MldMbDJxU1pNbWFkS2tTWFZtWnZoOFB2WHIxMC9KeWNuNjRvc3Y5T3FycjhydGRqZEpyalBPT0VNSkNRazY3YlRUZE91dHQ2cHo1ODdhdjMrL0pLbExseTQxMjNYdTNGbkZ4Y1VLaDhOeXVYaVJHQUFBd0ltaXpBQUF0RHFCUUVEdnZmZWVObXpZb0pLU0V0MTAwMDFhdUhDaENnc0x0V3JWS2tuU3E2KytxdW5UcDB1U3pqNzdiRWtIWjJFRWcwSHQzcjI3Wm1iR3ZIbnpOSGp3NEpwak4wV1JNV3JVS0gzNjZhZUtqbzdXbGkxYmRNODk5K2p1dSsvVy9QbnpGUXFGSktsT2FlRnl1WGo0SndBQVFCT2l6QUFBdEVydnYvKytUanJwSkNVa0pHakZpaFYxMWxWV1ZtckJnZ1UxWlVhMVpjdVdhY1dLRmJyMzNudTFaTWtTeGNmSGErWEtsZnJ3d3c5VlVGQWd2OSt2R1RObXFMUzBWSkowempubjZLcXJyanJtYkc2M3U2WVVHVDU4dUdiT25LbFpzMllwSEE0cktTbEprblRnd0FIRng4ZExrZ29MQzlXNWMyZG1aUUFBQURRUnlnd0FRS3NURXhPaitmUG5TNUtXTEZseTJQcjgvSHoxNk5IanNQSHFHUjJwcWFtNjVaWmJkUDc1NXlzcUtrcERodzVWNTg2ZHRYTGxTdjNwVDM5U1FrS0NRcUZRelN5S0V4VUlCQlFiR3l1WHk2WGV2WHNyTVRGUjJkblo2dDI3dHlRcE96dGJZOGFNYVpKekFRQUFRT0wvSWdJQVJJenFoMnArOWRWWHlzM04xV2VmZlNaSlNrOVBseVF0V3JSSWt5ZFBsakZHQ3hjdTFPclZxelZpeEFoTm5EaFJhV2xwTXNZb0lTRkIwc0huY054d3d3M0hsV1BWcWxYNjRZY2ZGQXFGOU0wMzMyakJnZ1dhTm0yYXBJTzNsRng0NFlWNjVwbG50SC8vZm0zYnRrMnZ2ZmFhZnZhem41M281UU1BQUFBQWdLWmltOUdaWjU1Wlp6a25KOGRlY3NrbDl0MTMzN1hubm51dVhieDRzYlhXMnNyS1N2dWIzL3pHaGtJaCs5T2YvclRlWTAyWU1NSDYvWDVycmJYdnZQT092ZTIyMityZHp1djExdnRQdFVjZmZkU2VlZWFaOXFTVFRyTG5uWGVlZmVLSkoyd3dHS3haWDFGUlllKzY2eTc3NHgvLzJQN2J2LzJiZmVXVlYwN29lM0EwVHYvNUF3QUFBQUFRY1pyakYvU2lvaUs3Zi85K08yWEtGR3V0dFlXRmhmYnZmLys3L2VsUGYyby8rK3d6YSszQll1Tm5QL3VablQxN3R2WDcvYmF5c3RKYWF4c3NNMjYvL1haN3hobG4yTFBPT3N0T25qelpmdkhGRjgwUnZjVTUvZWNQQUFBQUFFREVhWTVmMEgvKzg1L2J5Wk1uMjRVTEY5cU1qQXc3Y2VKRWUrKzk5OXFjbkp3NjJ4MDRjTUJlZDkxMU5qTXpzMlpzK2ZMbHpSR3AxWEw2eng4QUFLQ2w4WjQ0QU1BSmE0bGZxSVBCb0tLaWVHNTFmUXp2ZlFVQUFPME1mL2tCQUp3d1pnYzRpeklEQUFDME43ek5CQUFBQUFBQVJCVEtEQUFBQUFBQUVGRW9Nd0FBQUFBQVFFU2h6QUFBQUFBQUFCR0ZNZ01BQUFBQUFFUVV5Z3dBQUFBQUFCQlJLRE1BQUFBQUFFQkVvY3dBQUFBQUFBQVJoVElEQUFBQUFBQkVGTW9NQUFBQUFBQVFVU2d6QUFBQUFBQkFSS0hNQUFBQUFBQUFFWVV5QXdBQUFBQUFSQlRLREFBQUFBQUFFRkVvTXdBQVRTSGdkSUIyTE9oMEFBQUFnSlpHbVFFQWFBcVpUZ2RveDdZNkhRQUFBS0NsVVdZQUFKckNJMDRIYU1jV09SMEFBQUNncFJtbkF3QUEyZ1pyN1EyU2JwWTBURkswdzNIYXVxQU96c2hZWkl6NWk5TmhBQUFBQUFCQUMrblRwMCtjMSt0ZDcvVjZmK1IwRmdBQUFEUWV0NWtBQU5xdDd0MjdQeWhwck5NNUFBQUFjR3dvTXdBQTdWSjZldm8wWTh4TlZZdjlIQTBEQUFDQVkwS1pBUUJvZDlMUzBsSmRMdGR6MWN2VzJwQ1RlUUFBQUhCc0tETUFBTzFObE12bGVsWlNVdldBdGJiY3dUd0FBQUE0UnBRWkFJQjJ4ZVB4M0dLTW1WcDdMQ29xYXI5VGVRQUFBSERzS0RNQUFPMUdXbHJhS2NhWUJ3NGREd2FEMW9rOEFBQUFPRDZVR1FDQWRtSElrQ0ZKTHBmcnRmcldHV01vTXdBQUFDSUlaUVlBb0Qwd2lZbUpDNHd4cVU0SEFRQUF3SW1qekFBQXRIa2VqK2NxWTh3dkdsclB6QXdBQUlESVFwa0JBR2pUeG80ZE84Z1k4OHlSdHFITUFBQUFpQ3lVR1FDQU5zM2xjdm10dFVzbDdaUVVxbStieXNyS0ZzMEVBQUNBRTJPY0RnQUFRRXZ4ZUR6WEcyT1c2RitsaGx1U1FxR1FkOTI2ZFQ3bmtnRUFBT0JZTURNREFOQXVwS1dsL1pzeFpvbTFOaXpwRG10dEwwbUxyTFc1YnJlNzNoa2JBQUFBYUoyWW1RRUFhUFBTMDlPbnVseXU5NnkxVnRKRFBwL3ZkcWN6QVFBQTRQZ3hNd01BMEphNVBCN1BmOVFxTXA2bXlBQUFBSWg4bEJrQWdMWXF5dVB4UEc2TWVhTHExcExIZkQ3ZkRVNkhBZ0FBd0ltTGNqb0FBQUJOemVQeDlEZkdmQ0VwUlZKUTBqVStuKzl2RHNjQ0FBQkFFNkhNQUFDMFJiZm9ZSkdSSitsSFBwOXZpOE41QUFBQUFBQUFHalo2OU9nWXI5ZjdKNmR6QUFBQUFBQUFIR2IwNk5GZHZGN3Y1NUxjVG1jQkFBQkF5K0FCb0FDQVNPWDJlRHpMWTJOajh5VDl5T3YxL3RucFFBQUFBR2daeHVrQUFBQWNLNC9IYzVzeDVvRmFReTlrWkdSYzdWZ2dBQUFBdENqS0RBQkF4UEI0UEJNbHZXK01pYTRhOGdXRHdUUFdyMTlmNm1RdUFBQUF0Q3pLREFCQXF6ZHk1TWhlY1hGeC83VFdqakRHR0VsNW9WQm82cnAxNjlaS3NrN25Bd0FBUU12aTFhd0FnRmF2UTRjT1QwZ2FhWXdKaGNQaGE5YXVYZnV5cEpEVHVRQUFBT0FNbnZ3T0FHajFVbEpTMWhoajNINi8vOHpNekV4bVl3QUFBQUFBZ05ZalBUMDl2ZXBWcXdBQUFFQzltSmtCQUdnMVBCN1BZcGZMOVlTa2ZyMTc5eTdjczJmUGwwNW5BZ0FBUU92RE16TUFBSTVMVDA4ZllJeFpiWXpwSTBuVzJqOFVGUlU5NlhRdUFBQUF0RTY4elFRQTRLajA5UFNwTHBmcmRVbHhrdmFFUXFGSjY5YXQyK3gwTGdBQUFMUmVMcWNEQUFEYXIvVDA5SnRkTHRmYk9saGsvTDJvcUdnZ1JRWUFBQUNPaHR0TUFBQ09TRTlQdjg4WWM0Y096aEtjazVHUk1VOVMyT0ZZQUFBQWlBRGNaZ0lBYUhGZXIvZHNhKzM3eGhpWHBLc3pNakplY0RvVEFBQUFBQURBRWFXbnAxK2JucDcrSzZkekFBQUFBQUFBQUFBQUFBQUFBQUFBQUtqbWRqb0FBS0I5U0U5UG45cXJWNjkvcEtTa2ZKYVRrNVBqZEI0QUFBQkVMbDdOQ2dCb0NTNlh5L1drTVdhMHkrVTZ4K2t3QUFBQWlHeTh6UVFBME93OEhzK1p4cGlQSmUzTHlNam9MU25vZENZQUFBQkVMbVptQUFDYW5USG00cXFQTDRnaUF3QUFBQ2VJTWdNQTBOeGMxdHJMSmNsYSs1TFRZUUFBQUJENUtETUFBTTBxTFMzdEpHTk1UMG5iZkQ3Zi96cWRCd0FBQUpHUE1nTUEwS3hjTHRkd1NiTFdaamlkQlFBQUFHMERaUVlBb0xrTnEvcjZ2YU1wQUFBQTBHWlFaZ0FBbXBVeHBrdlYxKytjemdJQUFJQzJnVElEQU5Dc3JMWHhraFFPaDB1Y3pnSUFBSUMyd1RnZEFBRFFLRkZlci9kcWErMnZKS1VaWStLZERuUXNyTFV5SnFKKzVKUlphN01rUGVQeitaNldWT2wwSUFBQUFQeExSUDNORWdEYXFTaXYxN3RNMHNWT0IybVByTFgvOVBsOFB4R0ZCZ0FBUUt0Qm1RRUFyWnpYNi8ybHBHY0dEaHlvTysrOFUwT0dERkZpWXFMVHNkcTBrcElTZmZmZGQzcm9vWWVVblowdGErMGRQcC92QWFkekFRQUE0Q0NlbVFFQXJWelZyU1c2ODg0NzVmRjRLREphUUVKQ2dzYU9IYXM1YytaSWtvd3hsenNjQ1FBQUFMVlFaZ0JBNjVjbVNVT0dESEU2Ujd2VHAwK2Y2bzlEbmN4UlczeDgvTGdoUTRiOE16MDl2U3d0TGEyZ1U2ZE8vMTVydFRzMU5mWFBhV2xwK1dscGFRVjkrdlI1VUhWbllSNXRQUUFBUUVTSWNqb0FBT0RJcWgvMnlZeU1saGNmWC9PYzFUZ25jMVNMalkwZFBHVElrSS8yN3QzNzRKWXRXeTZLaTR0TENvZkROZGxTVWxKKzM2bFRwL00yYjk2Y0hncUZFa2FNR1BGUldWblo1dno4L0tjYnN4NEFBQ0JTTURNREFJQUlrWnFhZW05aFllRmJPVGs1RDBvcUxpOHYvOEh2OTIrcFh0K3RXN2ZmN04yN2QxNTVlZm4zZ1VBZ095OHZiM0czYnQydWFleDZBQUNBU0VHWkFRQkFaSWhLU2txYWxwZVg5MndENjFOaVltTDZsWlNVZkZFOVVGcGErcjl4Y1hIakdya2VBQUFnWW5DYkNRQUFFU0EyTm5hUXkrV0tpNDJON2R1L2YvOHRNVEV4ZllxTGkvL2ZEei84OE12eTh2SWZPbmJzMkV1Uy9INS9idlUrb1ZCb3Y5dnQ3aXpKZmJUMWtrSXRmRWtBQUFESGpaa1pBQUJFQUxmYm5TUko4Zkh4UDg3S3lqclo1L01OY0xsY0hWSlRVNStwM3FUcWE3aldibUZKdHVxZm82MEhBQUNJR0pRWkFBQkVnR0F3V0NwSjMzLy8vVnhKQlpKeWNuSnlIa3hNVEp3c3lSVUtoUW9rcVVPSERsMnE5M0c3M1YyRHdlQitTZUdqclcrNUt3RUFBRGh4bEJrQUFFU0FRQ0N3SlJ3T2w4VEV4SFNxTld5dHRSV1N3bjYvZjNzb0ZDcU1qWTA5cVhwbFhGemN5V1ZsWlY5SzB0SFdBd0FBUkJMS0RBQUFJa1BsL3YzN24rbmJ0KytmSlhYcjJMRmo3MTY5ZXMzSno4OS9zV3A5S0Q4L2YybnYzcjN2bE5RckppWm1WUGZ1M1grZG01dTdzSkhyQVFBQUlvWnhPZ0FBNE1pOFhxK1ZwRFZyMWpnZHBWMGFQMzY4SkNrakk2TTEvTXlNN2RldjMxK1RrNU4vcm9QbHhOOTI3dHg1aTZUeXF2VngvZnYzWDVTY25EdzlGQW9WN3QyNzk5N2MzTnduYXUxL3RQVUFBQUFSb1RYOHhRd0FjQVNVR2M1cVpXVUdBQUFBeEcwbUFBQUFBQUFnd2xCbUFBQUFBQUNBaUVLWkFRQUFBQUFBSWtxVTB3RUFvQ0hXV2lNcFJsS3NwR2cxWHdFYmxsUXB5UzhwWUl5eHpYUWVBQUFBQUUyQU1nTkFheFl0cWJ1a1BsVmZZNXJwUEFGSit5VHRrcFJidFF3QUFBQ2dsYUxNQU5DYXhlcGdrZkY1QzUxdmdxUURvc3dBQUFBQVdqV2VtUUdnTll2UndSa1pMYVU1WjMrZ2lXUm5aOHRhN2dRQ0FBQm96eWd6QUxSbUxyVnN1UkNyZHZ6ZnhmTHk4cHJQbDE5K3VRNGNPRkR2ZHVGd1dJOC8vcmoyN2R0MzJMcFFLS1Npb2lMdDNMbFRtWm1aK3ZEREQ3VnQyN1ltelhuMTFWZXJzckt5U1k4SkFBQ0F5TUp0SmdEUVFqd2V6MlJKUVovUDk2bWtvTk41YXN2SnlkSFZWMSt0ZDk5OVZ5NlhTNXMzYjFZdzJIQkVZNHd1di94eTNYZmZmZnJ1dSsrMGFORWlWVlpXeWhpanNySXlEUjQ4V0VsSlNlcmN1Yk4rOHBPZmFOQ2dRUW9FQXBvd1lZSVNFaExxSEt1a3BLVE9XRWxKaWI3NjZpdTUzZTVHNXcrSHczSzUybTBQQlFBQTBPNVFaZ0NJR09QSGp6OXNMQ2twU1I5KytLRWtLVE16VTlkZWUyMmQ5ZE9uVDlmczJiTWxIZnlGZC83OCtmckhQLzRoYTYwdXVlUVMzWFRUVFRMR05IdjJLajh4eHR6aThYanlKYjBzNmJYaTR1TFZXN1pzOGJkVWdJYTgrdXFybWpoeFlxTUtBWmZMcFJrelptam8wS0dxcUtqUTlPblROVzNhTk1YRnhkVVVGc3VXTFd0dzM0OC8vcmhtT1JRSzZaUlRUcWt6VnQrZjg2SFdyVnVuazA4K1daSzBkT2xTYmQrK1hYUG56ajNxZmdBQUFHZ2JLRE1BUkl3MWE5YlVXWDdnZ1FmcTNXNzE2dFhxMkxIalllUFBQZmVjUHZua0UvM3RiMzlUV1ZtWmZ2M3JYNnRmdjM2NjZLS0xtaVZ2UTR3eFhTVE5rRFFqS1NtcHlPUHhMTGZXdnBxYm0vdlI3dDI3eTFvMGpLU2lvaUl0VzdaTVpXVmxldjMxMTJ2R3p6MzMzTU8ydmYvKyt6VnExQ2k1M1c1Tm1US2xaanc2T3JySmM3MzU1cHQxL295Tk1WcTllclVrNmVXWFg5YkpKNStzNWN1WDYvbm5uOWZqanovZTVPY0hBQUJBNjBXWkFTQWlCUUlCdmZ2dXUxcTRjR0dqOTNubGxWYzBZOFlNcGFTa1NKSXV2dmhpdmZYV1d5MWVaaHdpeVJoem5USG11cFNVbE5LVWxKU1Y0WEI0ZVhsNStUODNiZHBVM0JJQkhudnNNWjEyMm1tNi8vNzdhOGJHangrdmQ5NTVSMTI3ZGoxcys1VXJWK3JSUngvVmIzLzdXM2s4SGwxMTFWV0hiVE5od29RNnk1OS9mdkNGTk9Gd1dHZWZmZlpoMjljM2RzRUZGK2lDQ3k2UUpHM2J0azEzM0hGSHpicnM3R3pkZi8vOSt1eXp6N1I0OFdJTkdqU29rVmNMQUFDQXRvQXlBMmlIMHRQVEp4bGozakhHeERxZDVVaW1USmtpcjllcmh4NTY2TEIxSDMzMGticDM3NjdSbzBjMzZsaDVlWG5LeWNuUjJMRmphOFpHalJxbFYxNTVwV2I1dHR0dWUyWE5talh5ZXIwbkh2NzR4RXU2MHVWeVhSa2ZIMS9oOFhqZXROYldmNzlHRS9uMDAwLzE3cnZ2NnVXWFgyNzBQaGRkZEpFR0RoeW9CeDk4VUpNblQ2NHBLaVRWM0daU2U2dzJsOHVsVmF0VzFTeFgzMlpTZTZ5KzIwemVmdnR0VFowNnRXYjVsNy84cFJZc1dLQVZLMWFvVzdkdWpjNStJcnhlTDY5UUFkb0FhKzFYUHAvdlZLZHpBQUJPREU5TEE5cW50TlplWkJ6TjY2Ky9yZ3N2dkxEZWRXZWNjWVltVHB5bzJiTm5xN0N3VUpLMGYvOStTVktYTGwxcXR1dmN1Yk9LaTRzVkRvZWJQL0F4c3RhNmpERmRqREVwelhtZWxKUVV6WjA3VnoxNzlqeW0vZExTMHZUU1N5OHBPVG01MGZ1RVFxSGp1aDJscEtSRWI3enhocVpObTFZemRzRUZGNmgvLy83Nm4vLzVuMk0rSG9EMnpSaHppdE1aQUFBbmpwa1pRUHYyYUVaR3hpeW5RelRFV3R0ZDBwbVNsdGNlMzd0M3I5YXNXYU0vL09FUGRiWWZOV3FVUHYzMFUwVkhSMnZMbGkyNjU1NTdkUGZkZDJ2Ky9Qa0toVUtTVk9jQmx5NlhxODdEUHg5ODhNRkxKWDFzakRuOG5hTk53T1B4UEd5TXVlVUltNVJMK2xqU3ltQXd1Q3d6TTdOQWtyeGU3NExteUNOSmd3Y1BWcmR1M1dvZXBsbGJmYy9NK1BycnIycytQL0hFRTdyc3NzdlV0V3ZYT3JNbUpOVlpmdi85OXlWSmZyOWZnVURnc0cwUDNmNVFUejc1cENaTm1xVHUzYnZYakxuZGJ2M3hqMy9VTmRkY280RURCK3IwMDA4L3dsVTJqWXlNakJaN1VpeUE1c0VNS3dCb095Z3pBRVNjTjk5OFU2ZWVldXBoejNOd3U5MDFyL01jUG55NFpzNmNxVm16WmlrY0Rpc3BLVW1TZE9EQUFjWEh4MHVTQ2dzTDFibHpaMGRmNldtdExUWEdyQXFIdzY5V1ZsYSttcFdWVmRMU0dUcDE2bFNucEpDTy9Nd002V0NoOU13enoraXl5eTZUSk9YbjV4LzJnRlpKZFVxU29xSWlEUjgrWEMrKytHTE5XUFZ0SnRXRlIvVzVxMzM1NVpkNjc3MzM2dHdPVkczZ3dJSDZ3eC8rb050dnYxMzMzMysvemp6enpFWmVNUUFBQUNJZHQ1a0FpRGh2dlBGR2c3ZVkxQllJQkJRYkd5dVh5Nlhldlhzck1URlIyZG5aTmV1enM3TTFac3lZNW96YWtDSkpyMWxyTDkrM2IxLzNqSXlNbjY1ZHUvYS9uU2d5anRmbm4zK3UwYU5ITjFoMjFPZUhIMzVRYW1wcW83ZmZzV09IWnMrZXJkbXpaNnRUcDA3MWJuUFdXV2ZwMWx0djFhMjMzcXJubjMrKzBjY0dBQUJBWkdObUJvQ0lrcEdSb1FNSERtaml4SW1IclZ1MWFwV0dEeCt1bEpRVWJkaXdRUXNXTEtoNXpvTEw1ZEtGRjE2b1o1NTVSdW5wNlNvcUt0SnJyNzEyMkswcXplenpjRGg4Y1dWbDVkdFpXVm1CbGp4eFUzdnZ2ZmQwMWxsbkhkTSthOWV1YmZRRFd5VXBNek5UMTF4empTWk5tcVNLaWdwRlIwZHIrL2J0aW82T1ZsVFV2MzU4L2ZTblAxWFhybDBWR3h2Umo0RUJBQURBTWFETUFCQlIvdkdQZitqY2M4K3Q5MEdTbVptWnV1ZWVlMVJXVnFZZVBYcm93Z3N2MUEwMzNGQ3ovcmUvL2EzdXUrOCtUWnMyVFltSmlicnh4aHNQZTRWb2MvTDVmSysyMk1rYWFjbVNKVnE2ZE9saDQzRnhjWFVldUZuYjY2Ky9ycSsvL2xxMzNYWmJuZkg2bm50Ui9YRFZZRENvdDk1NnE4Rlg2VnByRlFxRlZGQlFVUE1zaytyWHNrclNjODg5cDBXTEZzbmxjdW1xcTY0NjdOYWcwMDQ3N1lqWENRQUFBQUNJY09ucDZUZDd2VjdyOVhyLzRuU1dJN0hXZHJmV1RyY3Q1OStySGpyYXFsVDlXYlhndCtISWdzR2cvZXFycitxTVBmTElJL1Z1TzMvK2ZHdXR0ZXZXcmJNMzNuampZZXREb1pBOTdiVFRiREFZdEtlZWVxb2RQMzY4dmZubW0rczlaMmxwcVEwR2cwMXdCY2VtK3Z2djlQOE9BSnc0L24wR2dMYURtUmtBZ0dQaWRyc1BlL3ZKckZuMXZ4VG5kNy83blNScDNMaHhldmpoaHc5YjczSzU5TWtubjBnNitCeU9ZREJZNzZ3YnQ5dXRqaDA3bm1oMEFBQUF0QkU4QUJSQWF4YVcxSkxQbHZCWG5SUE5JQ0VoNFlqcmpUSDFGaGtBQUFEQW9TZ3pBTFJtQVVuN1d2QjgrOVN5NVFrQUFBQ0E0OEJ0SmdCYU03K2tYWkltU09vdXFibGVWK0hYd1NKalY5Vm5BQUFBQUswWVpRYUExcXhTQjB1R0lrblJhcjdaWk9HcWMvbXJ2Z0lBQUFCb3hTZ3pBTFJheGhpcmd3VURzeVVBQUFBQTFPQ1pHUUFBQUFBQUlLSlFaZ0FBQUFBQWdJaENtUUVBQUFBQUFDSUtaUVlBQUFBQUFJZ29sQmtBQUFBQUFDQ2lVR1lBQUFBQUFJQ0lRcGtCQUFBQUFBQWlDbVVHQUFBQUFBQ0lLSlFaQUFBQUFBQWdvbEJtQUFBQUFBQ0FpRUtaQVFDdFg1a2tsWlNVT0oyajNTa3JLNnYrV09Ga0RnQUFBTlJGbVFFQXJaeTFOa3VTdnZ2dU82ZWp0RHQ3OXV5UkpGbHJ0emtjQlFBQUFMVlFaZ0JBNi9lTUpEMzAwRVBhdEdtVFNrdExuYzdUNXBXVmxXbnIxcTE2K09HSHE0ZVdPNWtIQUFBQWRVVTVIUUFBY0dRK24rOXBqOGZ6NzluWjJaT3Z1T0lLcCtPMFIxOEdBb0g3bkE0QkFBQ0FmMkZtQmdDMGZwVStuKzhuMXRvN0pLMlhWTzUwb0hhZ3dscWJiYTM5ZzkvdlB6TXJLeXZnZENBQUFBRDhDek16QUNBeVZQcDh2Z2NrUGVCMEVBQUFBTUJwek13QUFBQUFBQUFSaFRJREFBQUFBQUJFRk1vTUFBQUFBQUFRVVNnekFBQUFBQUJBUktITUFBQUFBQUFBRVlVeUF3QUFBQUFBUkJUS0RBQUFBQUFBRUZFb013QUFBQUFBUUVTaHpBQUFBQUFBQUJHRk1nTUFBQUFBQUVRVXlnd0FBQUFBQUJCUktETUFBQUFBQUVCRW9jd0FBQUFBQUFBUmhUSURBQUFBQUFCRUZNb01BQUFBQUFBUVVTZ3pBQUFBQUFCQVJLSE1BQUFBQUFBQUVZVXlBd0FBQUFBQVJCVEtEQUFBQUFBQUVGR2luQTRBQUlnODF0cUxKZDBxeVNNcDF1RTRPQ2dnS1ZQU0k4YVlsNXdPQXdBQTBKd29Nd0FBeDZTcXlIak42Unc0VEl5azhaSmV0TmJHRzJNV094MElBQUNndVhDYkNRRGdXTjNxZEFBYzFjMU9Cd0FBQUdoT2xCa0FnR1BsY1RvQWptcVkwd0VBQUFDYUUyVUdBT0JZOFl5TTFpL2E2UUFBQUFETmlUSURBQUFBQUFCRUZNb01BQUFBQUFBUVVTZ3pBQUFBQUFCQVJLSE1BQUFBQUFBQUVZVXlBd0FBQUFBQVJCVEtEQUFBQUFBQUVGRW9Nd0FBQUFBQVFFU2h6QUFBQUFBQUFCRWx5dWtBQUFDY2lIZmVlVWZubm52dU1lMHpiZG8wdmY3NjY1S2s3ZHUzS3ljblJ3VUZCU29vS05EZXZYdVZtNXVySGoxNmFOYXNXYzBSR1FBQUFDZUlNZ01BRU5IbXpadFhVMlpNbkRoUlhidDJyYk4rNTg2ZCt2cnJyeHZjLzRrbm50QUhIM3lnamgwN3FxS2lRbE9tVE5IUW9VT1ZscGJXNEQ3ZmYvKzlGaTVjcUsrLy9sb1ZGUlZLUzB2VFhYZmRwZFRVMUthNUtBQUFBQndSWlFZQW9FMTU3YlhYNml5ZmZmYlpOWjluenB5cGZmdjJhZS9ldmJyc3Nzc2tTVXVXTE5IY3VYTVZGeGVuMDA4L1hmUG16VHZxT1Q3KytHT2RkTkpKbWpObmpvTEJvT2JPbmFzNWMrYm8yV2VmYmRxTEFRQUFRTDBvTXdBQUVXbnExS21TcE5MU1VrMmRPcldtaExqa2trdnFiRmRjWEZ6eitiSEhIcE4wOERhVFpjdVdIZkg0Z1VCQU1URXg5YTY3OHNvcjVYSzU2aXpQbkRsVDRYQzR6amdBQUFDYUIyVUdBQ0FpdmYvKys1SU8zbHBTL2JsLy8vNTY3cm5uNm14M3hSVlgxSHorNktPUDlQampqOWVabVhIWlpaZHB3NFlOT25EZ2dQeCt2eTY2NkNKVlZsWXFKU1ZGVHovOWRMM25QclN3eU0vUFYzSnlNa1VHQUFCQUM2SE1BQUJFdkYyN2RxbExseTRxS1NrNWJHYUdKRjE3N2JWYXVuU3BKazJhcEVtVEp0V1ptZUh6K2RTdlh6OGxKeWZyaXkrKzBLdXZ2aXEzMjkzb2N3ZURRYjM0NG91YVBuMTZrMTBQQUFBQWpvd3lBd0FRY1FLQmdONTc3ejF0MkxCQkpTVWx1dW1tbTdSdzRVSVZGaFpxMWFwVmtxUlhYMzIxcG1Db2ZtN0daWmRkcG1Bd3FOMjdkOWZNekpnM2I1NEdEeDVjYyt4aktUS3E5M2U1WExydXV1dWE0dElBQUFEUUNKUVpBTHd5cXNRQUFDQUFTVVJCVklDSTlQNzc3K3VrazA1U1FrS0NWcXhZVVdkZFpXV2xGaXhZY05oc2lXWExsbW5GaWhXNjk5NTd0V1RKRXNYSHgydmx5cFg2OE1NUFZWQlFJTC9mcnhrelpxaTB0RlNTZE00NTUraXFxNjVxTU1OZi92SVgrWHcrTFZteXBNSG5hd0FBQUtEcFVXWUFBQ0pPVEV5TTVzK2ZMK25nMjBnT2xaK2ZyeDQ5ZWh3MlhqMmpJelUxVmJmY2Nvdk9QLzk4UlVWRmFlalFvZXJjdWJOV3JseXBQLzNwVDBwSVNGQW9GRklvRkdvd3c4S0ZDL1hKSjUvb3FhZWVVcGN1WFpydTRnQUFBSEJVUEtrTUFOQm1qQjA3VnBMMDFWZGZLVGMzVjU5OTlwa2tLVDA5WFpLMGFORWlUWjQ4V2NZWUxWeTRVS3RYcjlhSUVTTTBjZUpFcGFXbHlSaWpoSVFFU1FlZnczSEREVGZVZTU1Rml4YnA0NDgvMXVMRmk5V3RXN2NXdURJQUFBRFV4c3dNQUVDYk1YLytmTzNkdTFkTGx5N1ZuWGZlcVQvKzhZK2FQbjI2SG5ua0VRV0RRVzNjdUZFelo4N1U4ODgvcjlqWVdQMzV6Myt1czM4NEhLNTVKZXZHalJ2VnExZXZlcy96MUZOUFNmclg2MkdyZmY3NTU5eHVBZ0FBMEFJb013QUFFYW00dUxpbWVKQ2tBd2NPNkoxMzN0RkxMNzJrMjIrL1hSTW1URkJhV3BwdXZ2bG1mZmZkZDdyNzdyczFmLzc4STc0K2RlTEVpWm95WllxaW9xTGtjcmwwMzMzMzFidmRtalZybXVXYUFBQUEwRGlVR1FDQWlQVHJYLzlhKy9idDA4VVhYeXlmejZkWnMyWnA2dFNwZXVxcHA5U3paMDlKVXMrZVBmWFVVMDlwMXF4WjJyeDVzOGFNR1NOSnV1YWFhK285NXJ4NTgxb3NQd0FBQUk0ZlpRWUFJQ0w5N1c5L3E3UDh3UWNmS0NycThCOXJTVWxKZXZycHArdU1IZnFXRXdBQUFFUVdIZ0FLQUdnVDZpc3lBQUFBMERaUlpnQUFBQUFBZ0loQ21RRUFBQUFBQUNJS1pRWUFBQUFBQUlnb2xCa0FBQUFBQUNDaVVHWUFBQUFBQUlDSVFwa0JBRGhXQWFjRDRLaUNUZ2NBQUFCb1RwUVpBSUJqbGVsMEFCelZWcWNEQUFBQU5DZktEQURBc1hyRTZRQTRxa1ZPQndBQUFHaE9sQmtBZ0dOaWpIbEowcThsWlVtcWREZ08vaVVvYVpPay96TEcvTVhwTUFBQUFNMHB5dWtBQUlESVk0eFpMR214MHpsT2xNZmo2UzdwUzBsbitYeStIVTduQVFBQVFPTXdNd01BMEM2bHA2ZDNsdlNlTWFhdnorZmI1WFFlQUFBQU5CNWxCZ0NnM1JreVpFaXN5K1Y2MlJpVGJxM05reFJ5T2hNQUFBQWFqeklEQU5EZVJDVW1KajRyNlp5cTVaMU9oZ0VBQU1DeG84d0FBTFFuTG8vSDg0Z3g1dkphWTNzY1N3TUFBSURqUXBrQkFHZzNQQjdQL3pIRzNGUjd6QmlUNDFRZUFBQUFIQi9LREFCQXUrRHhlSzQzeGp4dzZMaTFOdCtKUEFBQUFEaCtsQmtBZ0RZdlBUMTltakZtU1gzcmpESGZ0SFFlQUFBQW5CaktEQUJBbTVhV2xuYTZ5K1ZhMmRENmNEaThyU1h6QUFBQTRNUlJaZ0FBMnF5MHRMUmhicmQ3MVpHMk1jWnNiNkU0QUFBQWFDS1VHUUNBTnN2bGNwMGg2WUMxMXRhMzNsb2I4UGw4dTFzNEZnQUFBRTRRWlFZQW9NM3krWHhQWjJSa2REZkdUSmNVckdjVFhzc0tBQUFRZ1NnekFBRHR3V3hKVWRiYWdLVGRra0pWNDVRWkFBQUFFWWd5QXdEUTVvWEQ0WnV0dFRzazljbkl5RWdOQm9POUphMDJ4dXgwT2hzQUFBQ09YWlRUQVFBQWFFSlI2ZW5wcHhoajV2aDh2dk9xQjlldVhmdVpwQUhWeSt2WHI4K1ZkS1lEK1FBQUFOQUVLRE1BQUpIT05YcjA2TTR4TVRGM0cyTnVrbVFrV1kvSGM2YlA1L3QvVG9jREFBQkEwNlBNQUFCRXJQVDA5Q3RjTHRlVGtoSnJEVmRLdXBFaUF3QUFvTzJpekFBQVJKVDA5UFIwWTh3eVk4elFRMWE5WTYyOXh1Zno3WE1rR0FBQUFGb01aUVlBSUtLNFhLNkJrb1pLa3JWMmk2VExmVDdmL3pxYkNnQUFBQzJKTWdNQTBGb1pyOWM3MDFyN0U1L1BkMzcxWUZGUjBkdEpTVWszNXVUa3ZMQjc5KzR5SndNQ0FBREFHWlFaQUlCV1pjeVlNWU5qWW1KV1Nob3VLVnBTZU15WU1YMi8rZWFiblpLMFpjc1d2NlNubk13SUFBQUFaMUZtQUFCYUJZL0hjNUtrRlpKNlMzSkprclYycmFScnYvbm1teCtjekFZQUFJRFdoVElEQU9Db01XUEc5SXlPam41WDBsaGpqTXRhRzVaMFQxbFoyVjgzYnR5WTUzUStBQUFBdEQ2VUdRQUF4NlNucC8vQ0dMUElHQk1yU2RiYUdZRkE0SVdzckt3U3A3TUJBQUNnOWFMTUFBQTRKaHdPTDQrS2lwb3Y2Vzkrdi84bVNnd0FBQUEwQm1VR0FNQXg2OWV2THgwM2JsenErdlhyUzUzT0FnQUFnTWpoY2pvQUFLRDk4SGc4dmIxZTc4OXFqMUZrQUFBQTRGaFJaZ0FBV29xUnRGTFNpK25wNlhjN0hRWUFBQUNSaXpJREFOQWlQQjdQZmNhWWt5WHRMUzh2ZjhUcFBBQUFBSWhjbEJrQWdHYm44WGg2RzJOK0wwbkJZUERubXpadEtuWTZFd0FBQUNJWFpRWUFvQ1g4WEZLMHRmYnQ5ZXZYcjNZNkRBQUFBQ0liWlFZQW9DWDhydXJyUWtkVEFBQUFvRTJnekFBQU5DdVB4NU5tak9rdnFkRG44NzNyZEI0QUFBQkVQc29NQUVCekcxbjFkWldrc0pOQmNPemk0dUw2OU9qUlk4WWh3OUdTZXNUSHg0K05qNCtmbkp5Y2ZJV2t4T2JPa3BDUU1LbTV6MUVQZDF4YzNLbjFqRWQxNjlidFB4cDdrT1RrNUN2ajQrT25OR0V1QUFEYXRTaW5Bd0FBMmpaalRGOUpzdFp1ZHpnS2prTnFhdW9UT1RrNUQ0OFlNZUovbzZPalU0MHhibXV0UHhnTUZzVEd4ZzRxS2lwNk54Z003aXNvS0ZqVm8wZVBHMUpTVW1iWDN0L2xjbldvL215TWliWFcrcXVYMTY1ZG01Q1FrREFwSVNIaEZMZmIzVE02T2pvbEppYW1UMHhNVE4vaTR1S1BkdXpZY1owa3Q2U1FKQTBiTnV6RGpJd01VN1Y3QjYvWFd4NEtoUTdVUHAvYjdlNVVlOHp0ZG5mS3lNaUlsaFE4em05QjR0Q2hROS82OXR0dnp5OHZMLyt5MW5pSGZ2MzZQYkYvLy80bkczT1F5c3JLblNrcEtmKzFkZXZXRDQ0ekJ3QUFxSVV5QXdEUXJLeTFDY1lZR1dPS25NNkNZOU83ZCsrNUZSVVYyMHBLU2o2T2pZMGRzbTdkdWk2cU5idG0zTGh4KzdkdDJ6YTllamszTi9lUjNOemNSN3hlcjYxVk9sUkxTVXRMMjdCdTNib2VraXFyQjYyMVVlRndPT2ozKzMwREJneDQ1dHR2di9XV2xKVGtTTXFUSkkvSFUrcnorVHFvSHRiYTBMcDE2enJYR29yeWVyMlZ0Y2U4WHE4OW9XK0NWTGg3OSs0NVVWRlIzUnV6Y1V4TXpNaVJJMGQrWG52TUdCUGpjcmxpUTZGUWNWcGFXdUdoK3h4eURRQUFvQkVvTXdBZ01rUjV2ZDZycmJXL2twUm1qSWwzT2xCaldXdXJ2ODcxZXIxem5VM1RhR1hXMml4SnovaDh2cWRWNjVmdjlxSkxseTZYSmlRa25MVjU4K2J6T25Ub01GQ1NSbzhldmJuMk5sRlJVY21qUjQvZUlrbjc5dTE3SkRjMzkvR0dqdGU5ZS9mcHhjWEYvOVFoMzh2UzB0SVBTa3RMUDVDa0FRTUdMQ2twS2ZtbXlTL21PUFh2My8vcHpwMDdUNWNPempBeHhzVFdVOUxVRVFnRU5oeFNUblFaTldyVUozdjM3cDJYbDVmM3ZDUjNURXpNMEVBZ3NMRTVzd01BME5aUlpnQkE2eGZsOVhxWFNiclltQ1ArSHRVcVZXZU9zT3dkalRFblN6clo0L0g4dTgvbis0bmFXYUdSbjUrL0tqOC8vNzN1M2J0ZjczSzVPa3BTVmxiV2tOcmJqQnMzYnYraFl3M3AyclhyMWJtNXVYODVkSHpreUpIcm82T2pleHRqb293eHNlUEdqZHRmdlc3OSt2WGRqblJNWTR5Nzl2YTFjelVtMDlIczJMSGoraDA3ZGx3dnFlUG8wYVBYRmhZV3ZuTG9OaWtwS2JmbDVPUXNscFJmenlFNmpSZ3g0dTM4L1B5L1Z4VVppbzJOSFR4czJMQlZXN1pzdWFpOHZQeXJwc2dKQUVCN1JKa0JBSzJjMSt1OVd0TEZBd2NPMUoxMzNxa2hRNFlvTWJIWm43WFlycFdVbE9pNzc3N1RRdzg5cE96czdNa2VqK2NXbjgvM2dOTzVXbGllcEpTVWxKVFptWm1aSTFKU1VtNlRwR0hEaHEyT2pvN3VMa2x1dDd2ejZOR2pOMHBTVmxiV2lPVGs1S3Y2OXUzN3FIU3dVTERXQmpNek0xUGk0dUlteE1iR0Roc3dZTURmSlNrL1AvK0RxdU5ydzRZTjR5U3BSNDhldC9UcDArZmhveFVZdFZsclE0ZHNIK1gxZWl0cmp6WEJiU1lhTUdEQTRxS2lvcmQrK09HSHUvcjA2Zk5nWGw3ZWErWGw1Vm1TRkIwZDNXZlVxRkdydi92dXUzUEt5OHQvcU40bkxpNnViLy8rL1ZlVWxwYXV6c25KK1VQVnNQSDcvVHQyNzk1OTI5Q2hROS9hdEduVGovMSsvN2NubWc4QWdQYUl0NWtBUUN0WGRXdUo3cnp6VG5rOEhvcU1GcENRa0tDeFk4ZHF6cHc1a2lSanpPVU9SM0tDYThpUUlmOXRqSW1TVkdpdERVdFNiR3pzMEt5c3JCRlpXVmtqZkQ1ZlZGWlcxZ2lYeTlWWmtnb0tDbDZvTGhMV3IxL2ZMVE16TTBXU2V2WHFkVWR1YnU1amtoUVZGZFYzd0lBQkN3NDVWM1RYcmwydnNkWUcrL1hydDZoRGh3NzlHNUhQYmEwTk5OblZOcUJQbno0UGRlblM1WXI5Ky9mL2VjQ0FBUy9FeGNXTkx5OHYzMXE5ZnVmT25UY1ZGeGV2R2p4NDhPcTR1TGgrVmNPSnc0WU5XOSt4WThmeFhicDB1VFk5UGIxazNMaHhlZVBHamN2eGVyMFZQWHYydkQwWURPNGJNbVRJbTVJNk5mYzFBQURRRmpFekF3QmF2elJKR2pLa1ViUDUwWVQ2OU9sVC9YR29rem1jMEwxNzk5OUlxajJySVZUOVljU0lFV3RyYnhzVkZkVzFvZVBFeDhkUFRreE1QSDNidG0yLzZOV3IxNXpjM054SFI0NGNtWkdVbEhSK1VWSFJXMVhudXJHb3FPajlEaDA2RFBmNy9SdUdEaDM2MmFaTm02WUVBb0VOUjRnWTUzSzVPb3dkT3pibjBCWDFqUjJQUG4zNlBCUVRFek5Za29ZTkcvYXQzKy9mdEhIanhsTWwrU1VsVkcrM2MrZk8zN25kN3E0REJ3NThOenM3ZTZ5azRvMGJONTdxOS91TEpQazlIay9PK3ZYckV5VzV2VjV2WlhaMjltaEo2dFdyMTUwZE9uVG9YRkZSY2FDZTB3TUFnQ09nekFDQVZxNzZZWi9NeUdoNThmRTF6MW1OY3pLSEV3NGNPTEJxMzc1OUw0NGJOKzViU2ZHaFVLam1iVFFiTjI1TXI3M3RJZVZCakNTbHBLVGNGUmNYTnlZdUxtN3M3dDI3NTBvcXFGb2YzTGx6NSsvNjkrLy9iRlpXMWlwSm5WTlNVdTdJek13YzM2TkhqOS91M2J2M1VXTk16S0JCZzU3YnVISGp5UTNsaTQyTlRTNHJLL050M0xoeGZLM2hLSy9YVzFrOUkwUTZzZHRNeXN2THY5bTFhOWYvOVhxOTVkOSsrKzNwZmZyMFdUaHk1TWl2Tm16WU1GbFNSYTFON2ZidDI2K05pNHZ6cXVvVnNINi9mN01rZGVyVWFXclZMU21INWRpelo4OTl4NXNOQUlEMmpqSURBQUFjSmhBSVpGZC9qb21KNmUvMys3ZFVMemMwTTZONzkrNi82OTI3OXgvS3lzcldHR05zZEhSMGFpZ1VLdHkzYjkvQzJ0dVhsSlI4VkZGUnNiNXo1ODcvMXExYnR4bjc5KzkvWEZKTklaS1RrL05RVGs3T2tpUGxpNDJOSFJRSUJMNDd3Y3VNNnRhdDI3WDc5KzkvU1ZMWm9Tdno4dktlcS81Y1ZsYVd0WG56NXRPU2s1UFBsN1JmdFdabVZBbVVsNWQvY2NoWXA5NjlleitjbDVlM3FLRUF3NGNQLzJ6VHBrMFhTY285L3NzQUFLRDlvY3dBQUFCSEZCOGY3eTBySy91eWVybWhtUmxsWldVZmI5cTBLYTJpb21LSEpJVkNvZnlxVzBuQ2h4NXo2OWF0UDVkVUhoTVRNeWczTi9ldjladzJYNUo4UGwrSEJqS2RYbFpXZGtKdkErbllzYU1uSlNYbC8rN2Z2LytJeFVrdDRZS0NnamNhc1oyN1M1Y3UwM3YxNmpXdnBLVGs0OXpjM0NlcTk2LzZtaUNwUkZLdmpoMDduaUtwcU42akFBQ0FCbEZtQUFDQUkwcE9UcDVlNjQwY3FuNkRTYldvcUtodWtsUmFXcnF1OW5odWJ1N2pSemhzZWRVMmp4emw5Q214c2JIeEhUcDBHQlFLaGFwdjdZanUyclhyMVpzM2J6NjNnWDJNcEtpT0hUdDIxOEVDNGJBeVJaSVNFeE5QS3l3c1hIR1U4eCtUMk5qWW9jT0hELys4c3JKeXo1NDllKzdJejg5ZlZtdDF1TEN3Y1BtNGNlTytDNGZEcFM2WHErUCsvZnNYcU80dEt3QUFvQkVvTXdBQVFJTnljbkwrYjJGaDRZZlZEK1BjdFd2WGZ4VVVGTHhVZTV2azVPUXJHbk1zdjkrLzllaGIxZFdsUzVlSmZmdjJmY0phVzdsdjM3NC9TVkpjWE54SkZSVVZXd09Cd01aRE5yZmhjTGhVa3R2ajhaUVlZNklibWhraVNmSHg4YWRWdjJXbHFmajkvbTgzYmRwMGFrUFh1bTNidGt1Yjhud0FBTFJYeHVrQUFGcGVlbnI2elM2WDYxRkpqMlprWk14eU9nK09yUG9CaG12V3JIRTZTcnMwZnZ6QjUwdG1aR1R3TTdOMTZTVHBTRzhCTVpLaUpUWDc2MXNST2FyL2U4cS96d0FRK1Z4T0J3QUFBRGdPUjN1ZHFSVkZCZ0FBYlJabEJnQUFjRnpIamgxUEVqTkdBUUJBSTFGbUFBQUF4NDBZTWVKclNiSE5jT2pvV3AvamtwT1RyMnlHY3dBQWdCYkdBMEFCQUVCcjVWS3RoM2VPSFR0MmR5QVEyTnpBdHRIR0dQZkdqUnQvVkd1c3c2aFJvekoyN2RyMVgwVkZSZS9FeGNWMUh6Qmd3TE1GQlFVdk5uVEMyTmpZb2FtcHFmTVNFeFBQZHJsY0hZdUxpei9kdFd2WERSVVZGZHVhNkpvQUFFQVRZR1lHQUFCb0ZSSVNFbjVjL1RrbEplVzJmdjM2UFgyQ2g2ell2bjM3TlFNR0RIZ3VJU0hoN0hBNEhCY09oOHVQdEVPblRwMm1GUmNYZjdodTNickJQcCt2dnlSLy8vNzlYempCSEFBQW9Ja3hNd01BQUxTWXJsMjcvcUp2Mzc2MVg0ZHExNjVkbXloSlBYcjArRzFKU2NtcUhqMTZ6T2pSbzhmdnQyelpjczZKbnErc3JPeC90MjdkT3JtMHRQVGJ4TVRFazBPaFVONlJ0cy9OemYyTHBGRDE4cDQ5ZXg0WlBuejRlNUxjdGNjQkFJQ3pLRE1BQUVDTHljdkwrKys4dkx6L2xxU1ltSmhSZ3djUC9udjF1dmo0K0pQNzlldjNaRkpTMHJrYk4yNmNHQWdFc2lWcDhPREJyN3ZkN3E3UjBkRzkvSDUvdmJkN3VOM3V4TGk0dUxIRGhnMzdKQzh2NzZtOHZMeDNQUjdQRDdXM01jWVlTY2JqOFFRUEdYZC84ODAzSXdPQndFWWRVbGpFeE1UMHJLeXN6RDEwSEFBQU9Jc3lBMENiWkswMWttSjA4SUdDMFdyNHRycXdwRXBKZmtrQlk0eHRtWVFBdW5mdmZsVkJRY0VyMWN0NzkrNmQxN3QzN3dmWHJsMDdUTktlNnZHdFc3ZE9PNTdqKzN5K09uL1A2ZHUzNzErdHRhRmR1M2I5WiszeDlQVDBVcGZMVlZIUElhSjc5dXc1S3k4dmI5SHhuQjhBQURRZnlnd0FiVlcwcE82UytsUjlqV2xndTRDa2ZaSjJTY3F0V2diUS9EcDE2ZExsMnExYnQ1NVVQWkNibS92ZlhicDB1YTVIang1WDV1Ym1QbnpvRG1scGFlVVZGUlZmVmk5MzdOanhSMlZsWlY5VUwwZEhSdy80NXB0dkJqUndQcE9VbEhUQnpwMDdmOXU1YytlTENnc0wzNVZVTGtuR21OaUtpZ3Ivb1R2MDY5ZnZjV3R0YVBmdTNmZWZ3SFVDQUlCbVFKa0JvSzJLMWNFaTQvTkdiajlCMGdGUlpnQXRvaytmUHZjY09IRGc5Ykt5c3QyMWhrUGJ0bTI3ZXVUSWtWOVdWRlJzS0NvcWVxdXB6cGVZbUhpK3krWHFVRlJVOUY3djNyM3Y3Tm16NXgyYk5tMDZUMUt4TWNZdHFhejI5cW1wcVg5T1RFdzhNeXNyNnd3ZG5Ma0ZBQUJhRWNvTUFHMVZqQTdPeUdpc0k4M2VRQ3VTbloydGtTTkg2dURqRHhDSjR1UGpweVFuSi84c016Tnp6S0hyQW9IQWhoMDdkdnhpMEtCQkwrL1lzZVB5Z29LQ042clhCWVBCSHpadDJqU3Blbm5NbURIYkQxMXU0SlN4ZmZ2Mi9WTnVidTVEa2lwMzc5NDl0MmZQbnY2K2Zmdk8yYmx6NTd5cWJVcXJOMDVOVGIyL1U2ZE81MlZsWlUzU3dSbGJBQUNnbGFITUFOQld1WFJzNVVTc2VGMTFIWjkrK3FsMjc5NnRTeSs5dE1GdEhuendRZDEyMjIwdG1FcTYrdXFyOWZubm55c21odTRwRXNYR3hnNGZQSGp3Mzc3Ly92dGZTYXIzelNLRmhZVXJ2di8rKzVzR0RCaXdQRG82K3M3cVcwNmlvNk43RGg4Ky9LUHE3YUtqbzFOcUwxdHJnNGNmVGFaLy8vNUx3dUZ3NmQ2OWUvOWFQYmgzNzk1NWtreHNiT3l3Y0RoY0ppa29TYjE3OTU3YnFWT25hZG5aMlpNazdUM3hLd1lBQU0yQk1nTUFXb2pINDVrc0tlanorVDVWMVM5T1R0dTFhNWZlZU9NTjNYampqWEs1L3RYbEZCY1g2Nzc3N3BNa2VUd2VEUmt5cE43OWx5MWJkbGlaTVhIaXhEckxIMy84c1NRcEVBaG93b1FKU2toSXFMTytwS1NremxoSlNZbSsrdW9ydWQzdVJsOUhPQnl1a3grdFYwSkN3cW01dWJsL0tpd3NmRjFTUjBtQmhJU0VFZGJhZ0dyZDVwV2ZuLzlzTUJqTUNZZkRGWkk2RFI4Ky9QWHk4dkkxUnpwMk1CamNOWHo0OEk5cXpkYUlIemh3NE5QeDhmRVR0bTdkZW9ZTy9udG5kSEFtVm9Ha3FPN2R1MTlYK3cwcEtTa3BkMHVTMSt2TnFYM3NqSXlNT0VuMVBTUVVBQUE0Z0RJRFFMdncvZmZmYStIQ2hmcjY2NjlWVVZHaHRMUTAzWFhYWFVwTlRXM0pHRDh4eHR6aThYanlKYjBzNmJYaTR1TFZXN1pzY2V4Ky9NNmRPK3ZUVHovVnJsMjc5TWMvL2xFdWwwdmhjRmh6NXN6UnhSZGZyRkdqUm1uMjdObGFzbVNKa3BLU0duWE1VQ2lrVHo3NVJKSTBZY0tFT3V0Y0xsZE51Vkc5N1Ntbm5GSm5iUHo0OFVjOXg3cDE2M1R5eVNkTGtwWXVYYXJ0Mjdkcjd0eTVqY29IWitYbDVUMVgvVGtsSmVYLzlPN2RlNjYxTnJSdjM3NUhkUER0UWpXS2lvcitSNUtHRFJ2MmliWDF2MmpJV252WTMyVzZkZXYySDZXbHBXOE5HalRvbzFBb2RHRHIxcTFubEplWGYxKzlQaTB0Yll2YjdVNlVwR0F3bUx0OSsvWmZWSy9MeU1qZy9pVUFBQ0lBWlFhQWR1SGpqei9XU1NlZHBEbHo1aWdZREdydTNMbWFNMmVPbm4zMjJSYlBZb3pwSW1tR3BCbEpTVWxGSG85bnViWDIxZHpjM0k5Mjc5NWRkclQ5bTFKQ1FvTCsrdGUvYXRhc1dkcTVjNmQ2OWVxbGUrNjVSMjYzVytlZGQ1NVNVMU8xWWNNR3padzVVdzgvL0xCNjl1d3BxZTdzaStyUGd3WU5hdEx2NTV0dnZxa0hIbmlnWnRrWW85V3JWMHVTWG43NVpaMTg4c2xhdm55NW5uLytlVDMrK09OTmRsNjBuSnljblB0eWNuTCtySU16SGhxY3JiUjU4K2JUaitmNGUvYnN1VDAvUC85MTFYMndyMTIzYmwxM1NYRTZPRXVqVUJLdlpBWUFJTUpRWmdCb0Y2Njg4c282dHlGY2VlV1Ztamx6Wm11NFBTSEpHSE9kTWVhNmxKU1UwcFNVbEpYaGNIaDVlWG41UHpkdDJsVGNFZ0dTazVPMWRPbFNiZHk0VWRkZGQ1MzY5T21qdVhQbjZxcXJydEpkZDkybFgvM3FWekxHNklvcnJ0RDExMSt2U3krOXRHWW14Zmp4NCt2TXFqaWFjRGlzczg4Kys3RHgrc1l1dU9BQ1hYREJCWktrYmR1MjZZNDc3cWhabDUyZHJmdnZ2MStmZmZhWkZpOWVyRUdEQmgzclphTjFDRW9xYWE2RDUrZm52OUxBS3I5NFF3a0FBQkdOTWdOb2g0d3hRNnkxTXNiOHA5ZnIvVStuOHpTSEtWT215T3YxNnFHSEhwS2t3d3FML1B4OEpTY24xNHpmZHR0dHI2eFpzMFplcjdmRnM5WVNMK2xLbDh0MVpYeDhmSVhINDNuVFdydXNwVTYrY3VWS25YdnV1YnJ5eWl0bGpORzk5OTZyMy8vKzkxcStmTG11di81NmpSa3pSdSs5OTk0eFBjdmlVQzZYUzZ0V3JhcFpycjdOcFBaWWZiZVp2UDMyMjVvNmRXck44aTkvK1VzdFdMQkFLMWFzVUxkdTNZNDd6N0h3ZXIzOHYvZkFjYkxXZnVYeitVNTFPZ2NBb08yZ3pBRGFJV3R0YW50K1dHSXdHTlNMTDc2bzZkT25PeDJsUWRaYVY5WHRLQ2t0Y2I2MWE5ZnExbHR2clZQNmpCczNUb3NYTDY1NVZzYXBwNTZxVTA4OVZVOCsrYVNXTFZ1bVFDQ2dtSmlZT3JNcWFwY1Nod3FGUW9xT2pqN21iQ1VsSlhyampUZjB3Z3N2MUl4ZGNNSC9aKy9PNDJ5dSsvK1BQejludG1hR3NUUFpKZkdOTVRNSGxjaXVxNjRta3BwUzhnM1ZWY21GcTErSXlFV29VSkVXVzVlVUZyS0ZpTDY2NXVLaWtqbVd4bEtXb1VrWUdiTTZjK2JNK2Z6K0dIT2FZOFkrNDh5WmVkeHZON2ZPNS8zWlhwOFRoL09jOXhLakZTdFdhTTJhTlhyc3NjY3UrNW9BcmkzRE1HN3hkZzBBZ0xLRk1BTW8zMnp4OGZGZTdZcFFVa3pUckNHcGc2UXZ6dDAzZWZKa1dTd1dEUmd3d04zMjJtdXZQU2dwempDTTVKS3FLVG82ZXFwaEdNOWY0SkF6a3VJa0xYYzZuWXQyN2RxVklrbFdxM1ZHU2RVazVZVUZUejc1cEw3KyttdjE2TkdqeUdPY1RxY0NBZ0swY2VOR1BmMzAwM3I2NmFmMWozLzhRL2ZlZTY5cTFxeXA2NisvWGxXclZyM2dmYkt6cytWd09EeDZXT1FycWkzZisrKy9yMDZkT3FsR2pScnVOajgvUDAyWU1FSDkrdlZUbzBhTjFMNzlGVTJwY0ZtWUdCSzRNdlJxQWdDVUJNSU1BT1hLbTIrK0tadk5wcmx6NXlvd01ORGI1Y2cwelV6RE1EYTRYSzRsT1RrNVN4SVNFa3BzL29EemlZK1BWNU1tVFZTMWFsWDNLaVFGSlNjbjY0a25ubENmUG4zY2JUYWJUUmtaR2VyY3ViTSsvdmhqTFZpd1FLKzk5cHA3djhQaFVFYUc1Nk9rcGFXcGFkT21Xcmh3b2JzdGY1akordlhyM1cwRmg1bDgvLzMzV3JkdW5SWXZManoxUWFOR2pUUisvSGlOSERsU2t5Wk5Vb2NPSGE3c0RRQUFBSURQS2IvOXpBR1VPek5uenRTbVRaczBlL2JzaS9ZaUtHRnBrcGFhcHRrbk9UbTVSbng4ZkkvdDI3ZC82STBnUTVKKytPRUg5eEtxbVptWldyQmdnYkt5OGhaVitlT1BQL1QwMDArclY2OWVldmpoaHlWSnAwK2Yxb1FKRTlTNWMyZXRYYnRXRm90Ri8vM3ZmL1hmLy83WGZjMFJJMGFvZS9mdUhrTlFmdnZ0dDh0YUN2Znc0Y01hTldxVVJvMGFwVXFWS2hWNVRPZk9uVFY4K0hBTkh6NWNIMzMwMFdVL093QUFBSHdUUFRNQWxBdXpaczFTWEZ5YzVzeVo0ODBnWTR2TDVlcVZrNVB6VlVKQ2d1UGloMThiLy9uUGZ6Um16QmhKa3QxdTE4R0RCOVd6WjAvMTZkTkhxMWV2MWwxMzNhWEhIMy9jZmZ6UFAvOHN1OTJ1elpzMzYvcnJyMWZObWpVMVlNQUF2Zm5tbTdydHR0c2tTZE9tVFpOcG1oNlRoVzdmdmwzTm16ZS81THAyN2RxbGZ2MzZxVk9uVHJMYjdRb0lDRkJpWXFJQ0FnTGs3Ly9uWDE4OWV2UlF0V3JWRkJRVWRKWHZCQUFBQUh3RllRYUFjbUgyN05tU0NzL05zR1hMbG1zMjNNUm1zeTI1SmplNkRBY09ITkRKa3ljVkdSa3BTYXBXclpyR2pSdW54TVJFdmYzMjJ6cDY5S2lxVmF2bXNZVHRMYmZjb3ErKytxclF0VUpDUXVSdzVHVTA1MDR3NjNRNnRYcjFhczJjT2JQSU9relRWRzV1cmxKU1VtU3hXR1FZaG50WlZrbGFzR0NCWnMyYUpZdkZvcjU5K3hhNmZydDI3YTc4VFFBQUFJRFBJY3dBVUM1czI3Yk4yeVdVU3ZYcTFkT01HVE1LQlRvTkd6YlV0R25UdEczYk5rMlpNa1dWS2xWUzE2NWRMM2l0L0dFb0JYdHg1TnU5ZTdmcTFxMnJoZzBiZXJRYmhxSGc0R0M1WEM2MWI5OWVUcWRUN2R1M0x4UldEQnc0VUgzNzlsVlFVTkJWTFEwTEFBQ0Fzb0V3QXdES3NjREFRTFZ1M2ZxOCsxdTFhcVZQUHZta1VMaHdJVTg4OFVTaHRwWXRXMnJxMUttRjJpMFdpM3ZTMFMxYnRyaFhUVG1YbjUrZlFrSkNMcmtHQUFBQWxHMU1BQXFnckhKSnVweDVLYkxQbm9OelhFNlFjU0VWS2xTNDRIN0RNSW9NTWdBQUFJQnpFV1lBS0tzY2twSXY0L2hrWFY3NEFRQUFBTUJMR0dZQ29LektscFFrcWEya0dwTE90OVJGdHZLQ2pLU3pyd0VBQUFDVWNvUVpBTXFxSE9XRkZHbVNBblQrbm1pdXM4ZG1uLzB2QUFBQWdGS09NQU5BbVdRWWhxbThnSUxlRmdBQUFFQVp3NXdaQUFBQUFBREFweEJtQUFBQUFBQUFuMEtZQVFBQUFBQUFmQXBoQmdBQUFBQUE4Q21FR1FBQUFBQUF3S2NRWmdBQUFBQUFBSjlDbUFFQUFBQUFBSHdLWVFZQUFBQUFBUEFwaEJrQUFBQUFBTUNuRUdZQUFBQUFBQUNmUXBnQkFLVmZsaVJsWkdSNHU0NXlKeXNySy8rbDNadDFBQUFBd0JOaEJnQ1VjcVpwSmtqU29VT0h2RjFLdWZQNzc3OUxra3pUUE9qbFVnQUFBRkFBWVFZQWxINGZTTkxycjcrdWZmdjJLVE16MDl2MWxIbFpXVms2Y09DQXBrNmRtdC8waFRmckFRQUFnQ2QvYnhjQUFMZ3dtODAyTHpvNitvSGR1M2QzZmVTUkNZMXNMQUFBSUFCSlJFRlVSN3hkVG5uMHZjUGhtT2p0SWdBQUFQQW5lbVlBUU9tWFk3UFo3alpOODBWSk95V2Q4WFpCbDhNMFRXK1hjQ1hzcG1udU5rMXpmSFoyZG9lRWhBU0h0d3NDQUFDRm1hYlp5elROTGFacDJrMlV0R3pUTkg4MFRiTlUvSFNObmhrQTRCdHliRGJicTVKZTlYWWhseXNxS3VvK3d6QnF4Y2ZIei9KMkxRQUFvT3d3VGJPWHBLWGVycU1jQ1pUVVN0SkMwelJERGNPWTQ4MWk2SmtCQUNoUmhtRThLS21YdCtzQUFBQmx6bkJ2RjFDT0RmRjJBWVFaQUlBUzA2cFZxeERETU82VDFMRnAwNllWdlYwUEFBQW9VNks5WFVBNWRwTzNDeURNQUFDVUdLZlQyVVZTaUtUclFrTkRIL0IyUFFBQW9Fd0o4bllCSlNrakkrTzgrMzc2NlNkSmtzUGh0V205QXJ4MTQzeUVHUUNBRW1NWXh2MEZOdTgvNzRFQUFBRFgyTWlSSS9YdHQ5OWUwYm10V3JVcXNpMDNOOWVqTFRzN1d6dDI3UEJvR3podzRBVzM4OTExMTExRnRwdW1xWUVEQjJyNzl1M3EyN2V2RWhNVEpVbExsaXhSWm1ibXBUNkN6Mk1DVUFCQWlianh4aHVETEJaTHdkNFluZXZXclJ1Y2xKVGtVNnV4QUFDQXNtbkFnQUg2Zi8vdi8rbkFnUVA2K3V1dmRlTEVpZk1lR3hjWGQwWDMrT1dYWHpSa3lCQzk5TkpMNnRhdG15UnAvLzc5SHNlY3UzMHhobUhJTUF4RlJVWHB1ZWVlMDA4Ly9hUjY5ZW9wSVNGQkgzNzRvYVpNbWFMMzNudFBQLzc0NDNtdnNXblRwc3QvbUZLR01BTUFVQ0pDUTBNN1NpbzRUMFpvalJvMTdrdEtTdnJVV3pVQkFBRGt1K21tbXpSLy9ueHQzcnhaaXhjdmRyZW5wNmVyVTZkTzJyWnRtOGZ4M2J0M3YrQzI1Tm1iWXZEZ3dlclJvNGZlZlBOTi9lTWYvNUNmbjUvZWZ2dHRaV1ZsNmY3Ny8reXdXbkI3NmRLaUYyZnAwcVdMeDNaT1RvNUhXL1hxMVRWMjdGaDk5dGxuMnJsenA5NTY2NjJMUFQ0QStKNm9xS2lsVnF2VnRGcXQ4ZDZ1QldWWGRIVDBlMmQvbnhYOHhmSnBRRG1ULytmZjIzVklwYXNXQUZmUHZBcjc5KzgzLy8zdmZ4ZTVMeTB0emJSYXJSYzhmL3o0OFdadWJxNzUyV2VmbWJtNXVSNXRCUjA1Y3NSMHVWeG1hbXFxdTYxRGh3NGV4NXk3L2NVWFg1aWRPM2MyclZhcjJibHpaek11THM1czE2NmR4ekZkdTNZMU16TXozZHQvL1BHSHh6MnVCVy8vLzZkbkJnQ2cyTFZxMVNyQTVYTEZGckdyYS9QbXpRTVRFaEs4TmxzVkFBREFpUk1uTkhic1dIWHYzbDNEaHc5WFlHRGdaWjAvWnN3WTJlMTJUWjA2VmJHeHNlNjJjeTFZc0VDLy92cXIvdm5QZityeHh4K1hwQXYyekJnNWNxUjY5KzZ0M3IxN3EzMzc5dHF3WVVPUjl3OEpDVkZXVnBaQ1FrSjA5T2hSYmRxMFNYUG16TkdJRVNOVXMyWk5QZnZzc3hkOUJsOGZha0tZQVFBb2RybTV1ZTBzRmt2VkluYUZCUVVGeFVpaWh3WUFBUENhdG0zYjZ1T1BQOWJRb1VObHM5bDA2NjIzWHZTY3hNUkU5ZTdkdTFCNzY5YXRQYmEvLy81Nytmdm5mZFVlUFhxMFZxeFlvZFdyVjJ2cDBxWDY3cnZ2dEhidFdvMGJOODU5L0lzdnZxZ3VYYm9VT1d4Rmtsd3VsK3gydTJKaVlpUkpuMzMybWNMQ3dwU1dscVpEaHc3cG4vLzhwMWF1WEtudzhIQk5uRGhSSDMvOHNUWnQycVFYWDN4UmtaR1JldmpoaHkvMWJmRXBoQmtBZ0dKbnNWanV1OER1V0JGbUFBQUFMNnRYcjU0Ky9mVFRTKzZWMGJCaFEzM3h4UmVxVnEyYXdzTEM5UFhYWDJ2Ky9QbjY5Tk84NmNEc2RydmF0V3VuYmR1MnFYTGx5bXJhdEtrazZkWmJiMVgxNnRWMTZOQWhqUjQ5V21GaFllN2VIRkxlL0JlLy9QS0xBZ0lDMUtsVHAwTDN6Y25KVWVYS2xiVnExU3IxNk5GREZvdEZWYXBVMGFsVHA3Um8wU0k5OE1BRE1neERIVHAwMEcyMzNlWitubDI3ZHVuUlJ4Kzl5bmVwOUNMTUFBQVVOei9UTlBzWWhsSGtUdE0wdXl2djd4L25OYTBLQUFEZ0hIRnhjV3JXckpucTFhdDMwV05kTHBkR2p4NnRJVU9HNk5aYmI5WDI3ZHQxNDQwM3V2Zm41dVlxSUNCQU8zZnUxUGJ0Mi9YT08rOUlrdDUvLzMwZE8zWk0rL2J0VTd0MjdiUng0MGFQMVZHNmRPbWl1WFBuNnFtbm50TEpreWYxd0FNUGVOejM5T25UcWxDaGdyc0dmMzkvMWF4WlU5OSsrNjNpNCtNOWVubHMyTEJCSFRwMFVIWjJ0bEpUVS9YMDAwOTdYTXZwZEtwNzkrNmFNR0hDWmI5WHBZM0Yyd1VBQU1xV3FLaW9XdzNEcUhtKy9ZWmhWSTJLaXZyTHRhd0pBQUNnS08rOTk1NjJiOTkrU2NkKzlORkhDZzhQMTYyMzNxck16RXl0WGJ2V3ZkeXFKR1ZuWnlzb0tFaXhzYkd5Mld4S1RFeVVKTzNldlZ1ZE9uVlNqeDQ5Tkg3OCtDS3ZmY01OTjJqZXZIbXlXcTJTcElNSEQ4cmhjT2gvLy9kL3RYRGhRdFd1WFZ1UzVIQTRGQkFRb0hyMTZ1bnp6ei9YazA4K3FkRFFVRWxTU2txS3hvd1pvK1RrWkZXcFVrVWJOMjdVcGsyYlBINzE3OTlmMWFwVnU5SzNxMVNoWndZQW9GZ1pobEhkTk0xUEMyejNrYVNDYlJhTDVieGhCd0FBd0xXd2I5OCtuVGh4UWwyN2RyM29zYm01dWZyUGYvNmpTWk1tU1pKZWUrMDFOV2pRUUhmY2NZZjdtRE5uemlnME5GU1ZLbFZTVEV5TUVoSVNWS05HRFIwNmRFaDMzWFdYS2xldUxDbHZ3cytDdzB6YXRHa2pTZHF4WTRkaVltTDA0WWNmYXU3Y3Vicnp6anZWdFd0WC9mampqMnJldkxuUzB0S1VtNXNyd3pCMDZ0UXBWYXRXVGJHeHNmcm1tMjlVdTNadEhUaHdRSTBiTjFhREJnM08reHduVDU2ODRINWZRcGdCQUNoV05wdnRTMGxmNW05YnJkWStaOXNmOFZwUkFBQUE1MWkxYXBXNmR1MnFrSkNRaXg3cjUrZW5lZlBtS1RzN1d4TW1UTkMyYmR2MHdRY2Z5R0w1YzdERDFxMWJWYXRXTFVuU3FGR2pKRW1iTjI5V25UcDEzRUdHSklXR2h1clRUeitWbjUrZnUrM1hYMy9WekprejFhTkhEOFhFeE9qaGh4OVdVRkNRa3BPVE5YNzhlRTJlUEZrOWUvYlVYLzd5RjAyWU1FSGZmLys5N0hhN05tellvUFhyMTZ0VHAwNWF1WEpsb1VsRTA5TFNGQmdZcU1EQVFKMCtmVnJidG0xVCsvYnRyK3A5S3kwSU13QUFBQUFBNVVwMmRyWldyVnFseVpNbmE5KytmUm80Y0tESC91RGc0RUpmK2w5NTVSVk5uVHBWRFJzMjFJSUZDMVN0V2pXOTlkWmIrdnJycnhVUUVLRGs1T1JDYzFGczNicFZMVnUyOUdpNzg4NDc5ZGUvL2xVQkFRSHVOb2ZEb2VlZWUwNlNQSWFCekpneFF6MTc5dFJ0dDkybURSczJxSC8vL3FwYnQ2NCsrZVFUYmQyNlZTKy8vTEpNMDFULy92MjFZOGNPalIwNzF1TmVIM3p3Z1Q3NjZDUDNkcHMyYlhUNzdiZGZ3VHNHQUtWQVZGVFVVcXZWYWxxdDFuaHYxNEt5Nyt6dk5kUGJkUUR3anRMMEdWQ2FhZ0Z3OWN5cmtKS1NZcjc4OHN0bWJtN3VKWit6Zi85K2MvUG16UjV0cWFtcDV2NzkrODJmZi83WlRFMU5MWFJPYW1xcW1aU1VkTVYxbmp4NTBzekp5WEZ2WjJabWV1elB5c3B5M3pjNU9iblErVTZuMDB4UFR6ZFBuejV0MnUzMks2NmpLTjcrLzAvUERBQUFBQUJBdVZLNWNtV1BWVUF1UmVQR2pkVzRjV09QdHJDd01JV0ZoWjMzbkl2dHY1aHpKK3M4ZDBoTWNIQ3dnb09ESlVuVnExY3ZkTDZmbjU5N0paU3lodFZNQUFBQUFBQ0FUeUhNQUFBQUFBQkFlY3VvbG9JUkZMZ0VoQmtBQUFBQUFFaDY3TEhIbEpPVGM4Rmo5dXpab3dNSERuaTA1ZWJtYXVYS2xTVlcxN3g1ODVTVmxYWEJZeHdPaC92WHhaNmhMR0RPREFBQUFBQ0ExN1JxMWVyL3VWd3VoODFtbXkzSjd1MTZ6dVZ5dVR5V1lKMDdkNjV1di8xMmova3pzck96Tlc3Y09OMTc3NzBlNTM3enpUZWFObTJhUjF0V1ZwWjdxZGJmZnZ0TmRlclVrU1FkUFhwVVc3ZHVMWFQvWDM3NVJTdFdyTkNBQVFNdVdPZnR0OSt1K3ZYckt5Y25SMEZCUWZyaWl5L1VwazBiMWE1ZDIrTzQwNmRQS3k0dTdoS2V2SFFqekFBQVhCT3NJQUFBQUlyaWNya2VNZ3lqZFhSMDlGdVNkaHVHc1NBdExlMzkvZnYzcDNtam5oMDdkcWhObXphU3BQbno1eXN4TWRFOVdhakw1WkxOWnRPd1ljTXU2VnJkdW5WVHQyN2QxTEZqUjNlQTBMRmpSNjFZc1VLUzFMNTllL2ZyamgwN1NwSjI3ZHJsWHFaVnlncy9ycnZ1T25YcTFPbTg5NG1MaTlOMTExMm5wVXVYYXRteVpVcElTSkNVTjJGby92WHo1ZC9IMXhGbUFBQktsR21hUHhpR2NZdTM2d0RnVlQ5NXV3QUFwWjloR0lhazVwSmVDd3NMZXpVNk92b1gwelEvT1hIaXhEdEhqeDQ5V1p6M1dyVnFsVjU5OWRXQzk5YkdqUnNsU1o5Ly9ybmF0R21qTDc3NFFoOTk5SkhlZmZkZDkzRTdkKzVVZW5xNkhuNzRZVWw1UXp0R2pScWxPKys4ODdMdUh4c2JLeW12UjBmKzYveGhKQkVSRWU3Z0l6NCtYbE9tVE5HSEgzNm93TURBUzdyMnVuWHI5TGUvL2MxOXpaNDllMTVXYmI2Q01BTUFVS0pzTnR1dDNxNEJBQUQ0SE1Nd2pKc013eGdYSGg0K3JsYXRXb2t1bCtzemg4TXhZOCtlUGI5ZjdjVmpZbUlVRXhNalNUcDQ4S0JlZlBGRjk3N2R1M2RyMHFSSjJyeDVzK2JNbWFNYmJyakJ2Vy90MnJVYU1HQ0Fubm5tR1VuUzRNR0RQWlpQL2VjLy82bmV2WHVyUllzV0Y3ei9va1dMSk9YMXpNaC9mVzZQaWFOSGoyckVpQkZ5T0J6bkRTUldyMTd0TVFUbTFLbFQrdTIzM3hRWkdTbUpuaGtBQUFCQW1jR3dOOEQzR0liUjBNL1BiMlJ3Y1BESTZPam9KTk0wRjZlbnA2dGl4WXBYZmUydnZ2cEszYnQzZDIvMzc5OWZNMmJNMExKbHkxUzllblYzZTFaV2x0YXNXYU5ldlhxNTJ3NGVQT2d4ZDBiYnRtMDFlUEJnOWUvZlgvMzY5ZFBPblRzMVlzUUlaV1ptNnU2NzcvYTQzb1g4K3V1dkdqeDRzRTZkT3FWdDI3WVZlVXlyVnEwS3JieHk0c1FKK2ZuNUtTY241NUo3Y3ZncXdveXJFeTRwV1ZKdWdiWUFTUVduanEwb0tmMThGd2dKQ1dtZGxaVzFUUkovcVFJQUFBREFCWmltS2NNd1FpWFZ5ODNOdmVqeEY1T1JrYUdWSzFmcTQ0OC9kcmZGeE1Sb3hZb1ZXck5talI1NzdERjMrNkpGaTFTblRoMXQzcnhaUTRjT1ZWSlNrZ3pEVU8zYXRkMURSTzY4ODA3ZGROTk5HanAwcUZKVFV6VjQ4R0N0V2JOR0hUdDIxSm8xYXlUbDlZekk3MmxodDl2ZHIvT3ZZYlBaOVB6enoydnc0TUY2NVpWWDNEMUlMa1d6WnMxMDg4MDNhL255NVlxTmpWVm1acVppWW1KMC9QaHgxYXBWNityZUxKUk9JU0VodFJzMWF2VFplWFlid2NIQjlTcFZxblNuOHNJS1NkTE5OOSs4SnpRME5LTGdnWTBiTjE1ZG9VS0ZGcElVR0JqWVBESXlNa1hTZVgvWG5QM0p3SFZYL3dUQXBZdUtpbHBxdFZwTnE5VWE3KzFhQUFDNFZzNyszY2NQa0lCU0pqbzZlbXYrbjg4TC9FcTJXcTBmdDJ6WnNsSCtlV1l4bURKbGlqbHAwaVQzdHRWcU5iT3pzODJEQncrYTdkdTNOemR1M09qZXQyalJJblBYcmwzbWd3OCthTzdkdTlkOC8vMzN6VGZlZU1NMFRkUE16TXcwclZhcis5alUxRlF6S1NuSnZkMmhRd2YzNjNmZmZkZjl1bDI3ZG9YYXQyL2ZiczZiTjg5ZHovbFlyVmJUNlhRV3V0WjMzMzFuUHZua2t4NzNIVEJnZ0xsLy8zN1RORTN6bzQ4K01qLzg4TU1MdnpHWHdKdS9aeVI2WnJobFpXVWREUWtKaVE0SkNhbWRsWlYxVkpLYU5tMzZmVkJRMEExK2ZuNFZEY01Ja0dUczNidjNscXlzckI4clZxd1lFeFFVZEVPREJnMCtsYVRFeE1UK1dWbFpXMU5TVWhhRWg0ZFAzcjkvLzczMTZ0VjcvZVRKay9Na0hiL01jaXlTWEVYdEtPb3Y0TnpjM0pRZE8zWlVMWTc5QUFBQUFPQnRwbW5LWXJFY3o4M05YZWwwT2wvNjZhZWZMdmM3MVVWOS8vMzNXcmR1blJZdlhseG9YNk5HalRSKy9IaU5IRGxTa3laTlVvY09IZlRnZ3c5S2toNTg4RUc5ODg0NzJyTm5qK2JObTFma3RjUEN3aFFXRmxia3Z2ejVOczdYSGhrWjZaN3o0a3JVcUZGRHg0OTd2bDBQUHZpZzVzMmJweTVkdXVqamp6L1dFMDg4Y2NYWEx5MElNeVExYTlic0I0dkZFbXFhWms3RGhnM1g2V3lZNE9mblYzM256cDExSldXZmM0cGZuVHAxeHUvWnM2ZXAzVzQvSFJFUnNTY3JLMnUvSkowNmRXcXgzVzcvdVVxVkt2Y0dCUVUxUEhEZ1FPK0wzYjlDaFFxM1oyUmtiSkNrOFBEd0VZR0JnYzJPSERuU3Y2aGo0K1BqallMYjllclZlNmM0OXdNQUFBQ0FsNWlTZmpkTmMwbHljdks0cEtTa1V5VjFvOE9IRDJ2VXFGRWFNMmFNS2xXcVZPUXhuVHQzMXZEaHd6VjgrSEFOR2pUSVBlU2taOCtlZXYvOTl4VVpHYW42OWV0ZjhqMWRMcGVPSHordUFRTUd1TnZzZHJ2dXZ2dHU5L2F6eno2cmUrKzkxK084eTFtTlpQMzY5ZnJ1dSs4VUhoN3UwZjZYdi94Rml4WXQwcnZ2dnFzNWMrYW9YcjE2bDN6TjBvb3dROUxCZ3djZnIxV3Ixck8vL3ZycmM1VXJWNzR2UER4ODlPSERoM3ZmZU9PTlA2aHdrS0ZhdFdvTno4cksybUczMnhOcjFhbzFLaVVsNVNOSktSRVJFVW41eHdRRUJOVEp5Y241TFNJaVl2L3g0OGNuNWVibVpwNFRISmpidDIrdktFazFhOVo4TGlNalkwUE5taldmcVZtejV2L2J2My8vcGE3ckUxUzFhdFUrdi96eXkxOUthRDhBQUFBQWxDakRNUDZkbTV2N2pkUHBuSmlRa0pCeExlNjVhOWN1OWV2WFQ1MDZkWkxkYmxkQVFJQVNFeE1WRUJBZ2YvOC92eWIzNk5GRDFhcFZVMUJRa0NRcEp5ZEgwNlpOVThXS0ZiVjM3MTQ5Ly96enV2dnV1MVduVGgxSmVVdTFTbm5CaGNQaFVGSlNrbGFzV0NHSHc2RUJBd2FvU1pNbTdya3pwTHpWVEFwdUYrWGMxVWp5dFdyVnFsRGJiNy85cHFDZ0lJMGVQZHJkZHViTUdYMysrZWQ2N3Jubk5HN2NPSDN6elRmcTE2K2YvUHo4THZIZEtwM0tmWmhSdDI3ZDZXRmhZVjBOd3dpOStlYWJPMTkzM1hYL2s1MmRmYWhSbzBaZm5lK2N6TXpNTGJWcjF4NFhFaElTSFJ3Y2ZQT1pNMmQyTjIvZS9QNWR1M2JWelQ4bU9qcmFYbkJia3Y3NDQ0OFBKU2t3TVBEbXhvMGJ1K2ZuQ0EwTmJWTy9mdjMzdzhMQzd0cTdkMjlIaDhPeCsxSnFyMXExNm4wNU9UbEhzN0t5dHBiRWZnQzRIS1pwOXBJMFhGSzBwQ0F2bDRNOERrbTdKTDFoR01ZbjNpNEdBSUNpeE1mSHYzQ3Q3MWx3VXMwRkN4Wm8xcXhac2xnczZ0dTNyOGRTcDVMVXJsMDdTZExldlhzMWR1eFkxYWhSUXdzV0xGQkFRSUJXcjE2dFZhdFc2ZENoUXdvSkNkSHR0OStlUDBtcGJybmxGbzBkTzFaMzNubW5oZzRkcXVEZ1lJMGZQOTdqM25hN3ZkQUVuNnRXclRwdjNTZE9uRkJPVG82T0hqMnF3TURBUXJVKy92amo3dGNIRGh6UW1UTm4xS3RYTDNYdDJsVk5temJWbkRsejlNSUxMMmoxNnRYNjRJTVB6anNVeGhlVSt6QWpLU2xwU1A3cit2WHJ6OW05ZTNmei9PMklpSWhqelpzMzN5OUpGb3NseU9WeVphZW1waTVKU2tvYTRYQTRmdDI3ZDI5VWl4WXRFdmZ1M1J1VmY5eWxxRkdqUnQrVWxCVDN3S3pqeDQ5UHJsMjc5bXZidDIrL1NkSWxyNWxjdFdyVkFTZFBucHhmVXZ1dkZCTnIrUTdUTk90NHV3YVVEV2VEaktYZXJnT0ZCRXBxSldtaGFacWhobUhNOFhaQkFBQ1VOZ01IRGxUZnZuMFZGQlIwd2Q0SzllclYwOS8rOWpkMTdkclYzZmJBQXcvb2dRY2U4RGd1UDh6SVYzREl4OWl4WTYrcTFrMmJObW5od29VS0RBelVvRUdEUE81ejdqSzFnWUdCNnR5NXMvNys5Nys3ZTQ2RWhvYnFYLy82bDNidjN1M1RRWVlrR1JjL3BQeUlpSWc0dG12WEx2ZnZ0Sll0VzU3WXVYTm5UVW1Lakl3OHZXUEhqc3I1KzZLam8rMW56cHo1S1RnNE9PTE1tVE83L1B6OEtpY2tKTnlZUDlRa2Y1aUpKT1hrNVB5K2QrL2VObWRQclJRUkViSG53SUVEcmJPeXNvNWFyVll6UGo2K1FyTm16ZUpPblRyMTJZa1RKNlplU3EzQndjRjFtelZyZHNCbXN6V1FkS3k0OTE4TndneWZjakkrUHI2R3Q0dUE3ek5OYzR1azI3eGRCeTRvd1RDTUZ0NHVBdkNtL0gram5EdUhHQURmVkJwVzFDalBqSUpKaWhlVSs1NFprblR6elRmL0pFbisvdjdWOGwrZlpUblBLWEk0SEVsNzkrNXRmYlpuUnV2OG5objVRMHVLR21ZaVNYWHIxdjFuYW1ycWl2d1ZVODdLUFhqdzRHUC84ei8vODczZGJ0K1RscGEyK21JMVY2NWMrWC9UMHRMVzZ6eEJ4Tlh1dnhyOEE2SDBpNHFLV21xeFdIcEordFhidGFETWlQWjJBYmlvbTd4ZEFBQUFRSEU1NzVmMTh1VElrU04vUDN6NGNGK24wL25IL3YzN0h6aDI3TmdidTNmdjdtaWFwcU00N3hNYUd0cXRTcFVxRHgwNWN1U2xjL2M1SEk0OWh3OGYvdDhiYnJqaDh5cFZxdHhiMVBrRlZhMWE5ZkdMRENHNXF2MEFjSm1ZSTZQMEMvQjJBUUFBQU1XRm5obFN4UVlOR3N3K2NPQkFOMGx5T0J3bndzUERuNjlhdGVvRDJkblpCODkzVW1CZ1lMMW16WnB0ejgzTlRXL1dyTmwyU1dyUW9NRkhZV0ZoM1NYSk1JeWdpSWdJZDYrSG4zLyt1V1BqeG8wL1BYTGt5Qk9TL2lqcW1xZFBuMTUyNU1pUndRMGJOdndpSUNCZzlQbUduRlNvVUtHRG41OWYxZFRVMUM5TFlqOEFBQUFBb0hpWXBxbWNuQndGQmdaNnU1UXlwZHlIR1ZXclZ2MXJXbHJhU3J2ZG5tZ1locitrVXdjUEh2eHIzYnAxNTJSbFpXMDczM20vL1BMTFhSa1pHZDhXYUtvdTZXVCt4dGxoSnU3NU42cFZxOWJ2eElrVFUwNmZQcjFDVW9na1I0VUtGWnFkN2YzaDdnRnk2dFNwZnptZHptTXVsOHQrZ1pyN3A2U2tmRnJ3dk9MY0R3QUFBQUM0TXJtNXVYcnl5U2YxMGtzdjZZWWJidEM4ZWZPVW5wNnVZY09HRlRyMjdydnZWbFpXMWtXdm1aR1JvUjkrK01IbmwxTXRUdVUrekRoMTZ0VG5Eb2ZqV011V0xVOWtaMmYvSkVsMnUvM3dkZGRkMSt6MzMzOS92YWh6cWxTcDhraElTRWlycWxXcjlnc0lDS2pxNys5ZjNkL2Z2OGFSSTBjR3BLZW5ieXJxbkQvKytHTkIvdXZ3OFBBWGF0ZXVQYzQwemR6azVPUTNKTGtLSHB1V2xuYkJoWWFQSERuU3Z5VDNBd0FBQUFDdXpMSmx5MlMzMjlXb1VTTkowajMzM0tNK2ZmcW9UNTgrSGl1YlNOS2FOUmY4NmlkSmNqZ2NhdHUyYlluVTZzdktmWmdoU1JrWkdYSDVxNWJrTzN6NDhNT1ptWmxiOHJkUG5UcjFTZjVycDlPWmxwMmQvYlBUNlV6T3pjMDk3bkE0am1kblp4K1hsSjUvVEU1T3pua24xangyN05qRVk4ZU9UWk5rbCtRczFvY0JBQUFBQUhqRjc3Ly9ycGt6WjJyNjlPbnVaVk92di81NnhjYkdhc3lZTVhydnZmZms3NS8zTlh6TW1ESDY5dHR2TDNRNVNkS0dEUnRLdEdaZnhhb1RRRGxVWURVVFczeDh2TlhiOWNEM3NUU2FiL0QyRW1xQXQ3RTBLMUMybExaL2YyUmxaZW1KSjU3UWJiZmRwci8vL2U4ZSs1eE9wNTUrK21sVnFWSkZFeWRPdkt6NU0vSjdacFMyWVNiZS9uY0ZxNWtBQUFBQUFIQVZzckt5Tkd6WU1GV3ZYbDNQUGZlY0pDa2hJVUdabVptU0pIOS9mNzN4eGhzNmZ2eTRubmppQ1IwK2ZOaWI1WllKaEJrQUFBQUFBRnlGZDk1NVJ4YUxSYSs5OXBvc0ZvdlMwOVAxM0hQUDZidnZ2bk1mRXhZV3BsbXpacWwyN2RwYXQyNmR1NzFWcTFicTBxV0x4NjlXclZvcE56ZlhHNC9pTTVnekF3QUFBQUNBcXpCNDhHQlpMQmIzOEpFNWMrWW9JaUpDWGJ0MjlUZ3VPRGhZcjc3NnFzNGRJWFB1dkJpdFdyVXEyWUxMQU1JTUFFQ1pzM2J0V3QxMTExMlhkVTdQbmoyMVlzVUtTVkppWXFLT0hUdW1sSlFVcGFTazZQang0enB4NG9ScTFxeFo1TEpxQUFDZ2ZMdnV1dXZjcjMvNTVSZXRXTEZDbjN5U3Q0YkVvVU9ITkhQbVRFMlpNa1VXUzk3Z0NLYXh1bnFFR1FDQU1tZnk1TW51TUtOang0NnFWcTJheC81ZmYvMVZXN2R1UGUvNTc3MzNucjc1NWh1RmhJVElicmVyVzdkdWF0S2tpU0lqSTg5N3pwRWpSelJ6NWt4dDNicFZkcnRka1pHUkdqTm1qT3JVcVZNOER3VUFBRW85aDhPaHNXUEhhdWpRb2U1L0F6UnMyRkNabVpsNjc3MzNOR2pRb0NMUDY5NjkrN1VzczB3Z3pBQUFsSGxMbHk3MTJPN1NwWXY3OWFCQmc1U2NuS3pqeDQ4ck5qWldralIzN2x5Tkd6ZE93Y0hCYXQrK3ZTWlBubnpSZThURnhhbDE2OVo2NmFXWDVIUTZOVzdjT0wzMDBrdjYxNy8rVmJ3UEF3QUFTaVdYeTZWSmt5YXBUcDA2NnRXcmw3dk5icmRyOE9EQmV2TEpKM1hiYmJjVk9ZUmsvZnIxSHR1NXVibnVsVXQrKyswMytmdjd1M3QxSUE5aEJnQ2d6TWovcVVabVpxYTZkKy91RGlIdXYvOStqK1BTMDlQZHI5OTU1eDFKZWNOTUZpMWFkTUhyT3h5Tzh5Nmw5dWlqajNyOEkrUFJSeC9Wb0VHRDVISzUrTWNIQUFEbHdNeVpNN1Z5NVVxRmhZV3BjK2ZPeXM3T2xzVmlVV2hvcUVKRFExVzNibDJOSFR0V2l4Y3ZWa2hJaVB1ODRjT0hGN3JXWjU5OXByZmVla3VCZ1lGeU9CeTYvLzc3R1pweURzSU1BRUNaa2Y5VGpZNGRPN3BmTjJqUVFBc1dMUEE0N3BGSEhuRy8vdmUvLzYxMzMzM1hvMmRHYkd5czl1elpvOVRVVkdWblordSsrKzVUVGs2T3dzUEROVy9ldkNMdmZXNWdjZXJVS1ZXcFVvVWdBd0NBY2lJMk5sYTMzWGFiYXRXcXBVcVZLcWxpeFlydTNoV1NaSnFtWG5qaEJSMDhlRkF0V3JSd3R6LzAwRU9GcnZYd3d3L3J2dnZ1azJtYUNnd01QTzhQVThvendnd0FRSm1VbEpTa3FsV3JLaU1qbzFEUERFbDYvUEhITlgvK2ZIWHExRW1kT25YeTZKbGhzOWxVdjM1OVZhbFNSZDk5OTUyV0xGbmk4WStSaTNFNm5WcTRjS0Y2OSs1ZGJNOERBQUFLY1VncU5kL3l3OFBERlI0ZWZ0NzlobUZvNnRTcGwzUXRQejgvaFlhR0ZsZHBKY0hwN1FJSU13QUFaWUxENGRDNmRldTBaODhlWldSa2FQRGd3Wm81YzZaT256N3RYdTVzeVpJbDdvQWhmOTZNMk5oWU9aMU9IVDE2MU4welkvTGt5V3JjdUxINzJwY1RaT1NmYjdGWU5HREFnT0o0TkFBQVVMUmRrbGpEMURzT2VMc0F3Z3dBUUpteGZ2MTZ0VzdkV2hVcVZOQ3laY3M4OXVYazVHakdqQm1GZWtzc1dyUkl5NVl0MHl1dnZLSzVjK2NxTkRSVXk1Y3YxN2ZmZnF1VWxCUmxaMmZybVdlZVVXWm1waVRwemp2dlZOKytmYzlidzV0dnZpbWJ6YWE1YytmU0pSUUFnSkwxaHFTRjNpNmluSnJsN1FJSU13QUFaVUpnWUtDbVQ1OHVLVzgxa25PZE9uVktOV3ZXTE5TZTM2T2pUcDA2ZXY3NTUzWFBQZmZJMzk5ZlRabzBVZVhLbGJWOCtYSk5tVEpGRlNwVVVHNXVybkp6Yzg5Ync4eVpNN1ZwMHliTm5qMWJWYXRXTGI2SEF3QUFoUmlHOFlscG1xR1Noa2k2U1ZLQWwwc3E2NXpLNjVFeHl6Q01ONzFkRExPU0FRREt0SWlJQ0VuU0R6LzhvQk1uVG1qejVzMlNwS2lvS0VuU3JGbXoxTFZyVnhtR29aa3paMnJqeG8xcTFxeVpPbmJzcU1qSVNCbUdvUW9WS2tqS200Zmp5U2VmTFBJK3MyYk5VbHhjbk9iTW1hUHExYXRmZ3ljREFBQ0dZY3d4REtPRllSaUJCa3BhZ0dFWXpZeFNFR1JJOU13QUFKUngwNmRQMS9Ianh6Vi8vbnlOSGoxYUV5Wk1VTy9ldmZYR0cyL0k2WFJxNzk2OUdqUm9rRDc2NkNNRkJRVnAyclJwSHVlN1hDNzNrcXg3OSs3VjlkZGZYK1I5WnMrZUxlblA1V0h6YmRteWhlRW1BQUFBeFl3d0F3QlFacVNucDd1REIwbEtUVTNWMnJWcjlja25uMmpreUpGcTI3YXRJaU1qTldUSUVCMDZkRWd2di95eXBrK2Zmc0hsVXp0MjdLaHUzYnJKMzk5ZkZvdEZFeWRPTFBLNGJkdTJsY2d6QVFBQW9ERENEQUJBbWZIVVUwOHBPVGxadlhyMWtzMW0wN0JodzlTOWUzZk5uajFidFdyVmtpVFZxbFZMczJmUDFyQmh3L1R6enorNzEzbnYxNjlma2RlY1BIbnlOYXNmQUFBQWw4YndkZ0VBcnIyb3FLaWxGb3VsbHlSYmZIeTgxZHYxd1BlWnBtbDZ1NGFpT0oxTytmdVQyK2N6RElPLzkxR3VXYTFXVTVMaTQrUDVzd0FBUG80SlFBRUFaUlpCQmdBQVFObEVtQUVBQUFBQUFId0tZUVlBQUFBQUFQQXBoQmtBQUFBQUFNQ25FR1lBQUFBQUFBQ2ZRcGdCQUFBQUFBQjhDbUZFWDBUZEFBQWdBRWxFUVZRR0FLQTRPTHhkQUM3SzZlMENBQUFBaWd0aEJnQ2dPT3p5ZGdHNHFBUGVMZ0FBQUtDNEVHWUFBSXJERzk0dUFCYzF5OXNGQUFBQUZCZkNEQURBVlRNTTR4TkpUMGxLa0pUajVYTHdKNmVrZlpMK1lSakdtOTR1QmdBQW9MajRlN3NBQUVEWllCakdIRWx6dkYzSDFXcmV2SG45b0tDZ2RWbFpXZTMyN3QzN2g3ZnJBUUFBUUdIMHpBQUE0Q3lyMVhwSFVGRFFIa25aQkJrQUFBQ2xGMkVHQUFDU0pUbzYrbWxKLzVFVUl1bDdMOWNEQUFDQUMyQ1lDUUNnWEd2ZXZIbGdZR0RnRk1Ndy9wN2Y1bks1Vm51ekpnQUFBRndZWVFZQW9OeTY0WVliS2dVRkJhMlVkRWQrbTJtYUxzTXdObnV4TEFBQUFGd0V3MHdBQU9WU3k1WXQ2MWF1WEhtdkNnUVprbVFZaHNYbGNuWDJVbGtBQUFDNEJJUVpBSUJ5SnpvNnVxTy92MytpcFBBaWRxZnUyTEhqaTJ0Y0VnQUFBQzREWVFZQW9EeXhSRVZGRFRVTTQ5K1MvSW82d09WeXZTdkpkVTJyQWdBQXdHVmh6Z3dBUUhsaFJFZEh6ekVNWThBRmpzblp2bjM3bUd0V0VRQUFBSzRJUFRNQUFPV0ZLZWxIMHpRZDV6M0FOUDhyS2ZmYWxRUUFBSUFyUVpnQkFDZ1BERW15Mld6dk9SeU9hcVpwbmpqUGNSdXZZVTBBQUFDNFFnd3pBUUNVS2ExYXRhb2t5ZXB5dWF5R1lkd3BxWU5wbXFOdE50c2JrcFNRa0pCaHRWcW5TWHBWWjBPT0F0WmM0M0lCQUFCd0JRZ3pBQUErb1dIRGh0ZUZob1pXVGtoSU9KYmZaclZhaDBsNm8rQnhwbWxLa2d6ano1ekNNSXdXQlkrSmo0OS9YZExya2dLaW82UFhHNGJSVVZLYXpXYmJVbkpQQUFBQWdPSkNtQUVBS0Uwc1ZxdTFrMm1hanhxR0VTTXAxRFJOZjhNdy9FelQ5RE1NNDBOSi9Rc2NuMXpFTmM1STJpbHBoNlI0cDlPNUxpMHQ3ZmZ6M0MvSFpyTjFqb3FLNm1ZWXh0RGlmUlFBQUFDVUZNSU1BSURYUlVkSFB5eHBycVJnU1paemVsWGsvOWRwbXFhejRIbng4ZkdmTlcvZWZIbHFhbXB1clZxMW5OdTJiY3ZWNVMrcmFtN2Z2bjI5cFArN21tY0FBQURBdFVPWUFRRHdPcWZUbVJBUUVCQjZkak5lMHNmWjJkbEwvUHo4L3NqS3luTHUzNy9mcWFKWEdYRW1KQ1JrU0ZKU1V0TFZsbkc1SVFnQUFBQzhoREFEQUhCTnRXalJvbkZnWU9DLzR1UGpPK1MzN2RxMTY2Zm82T2lHS1NrcHh4TVRFKzNlckE4QUFBQ2xIMHV6QWdDdW1SWXRXclFPREF6Y0tlbU82T2pvWndyc01tMDIyMkdDREFBQUFGd0tlbVlBQUs0SnE5WGFSZEpxU2RlNVhLNWxKMCtlbk8vbGtnQUFBT0NqNkprQkFDaHhMVnUyREpYMHVhVHJUTk5jNE9mbjkxQlNVdElaYjljRkFBQUEzMFRQREFCQWliTllMRU1rVlRkTjh6dWJ6VFpRa3ZOaTV3QUFBQURuUTg4TUFFQkpNd3pER0NwSnBtbU9GVUVHQUFBQXJoSmhCZ0NnUkVWRVJEUTFES09HcEtQYnQyLy94dHYxQUFBQXdQY1JaZ0FBU3BURll2bWZzeTkva21SNnN4WUFBQUNVRFlRWkFJQVNaYkZZS2txU2Fackh2RjBMQUFBQXlnWW1BQVVBMytCdnRWb2ZNMDN6Q1VtUmhtR0VlcnVneTJHYXBpVDFzMXF0L2J4ZHl5WEtNazB6UWRJSE5wdHRucVFjYnhjRUFBQ0FQOUV6QXdCS1AzK3IxYnBJMGdlR1lkenVhMEdHSkJtR0ljTXd2RjNHNVFneERLT05ZUmp2UlVkSHI1RVU0TzJDQUFBQThDZDZaZ0JBS1dlMVdoK1QxS3RSbzBZYVBYcTBicnp4UmxXc1dOSGJaWlZwR1JrWk9uVG9rRjUvL1hYdDNyMjdhM1IwOVBNMm0rMVZiOWNGQUFDQVBQVE1BSUJTN3V6UUVvMGVQVnJSMGRFRUdkZEFoUW9WRkJFUm9aZGVla21TWkJoR0h5K1hCQUFBZ0FJSU13Q2c5SXVVcEJ0dnZOSGJkWlE3ZGV2V3pYL1p4SnQxQUFBQXdCTmhCZ0NVY3ZselpOQWo0OW9MRFhWUFR4THN6VG9BQUFEZ2lUQURBQUFBQUFENEZNSU1BQUFBQUFEZ1V3Z3pBQUFBQUFDQVR5SE1BQUFBQUFBQVBvVXdBd0FBQUFBQStCVENEQUFBQUFBQTRGTUlNd0FBQUFBQWdFOGh6QUFBQUFBQUFENkZNQU1BQUFBQUFQZ1V3Z3dBQUFBQUFPQlRDRE1BQUFBQUFJQlBJY3dBQUFBQUFBQSt4ZC9iQlFDQWFacUdwRUJKUVpJQ2RPVkJxMHRTanFSc1NRN0RNTXppcVJCQWFjUG5CZ0FBNVJ0aEJvRFNJRUJTRFVsMXovNDM4QXF2NDVDVUxDbEowb216MndES0pqNDNBQUFveHdnekFKUUdRY3I3UXJLbG1LN1hWbEtxK0ZJQ2xHVjhiZ0FBVUk0eFp3YUEwaUJRZVQ5WkxTNVg4MU5hbEhLN2QrK1dhVElTQUh4dUFBQlFuaEZtQUNnTkxDcmVMeEZCNHZQdHN2em5QLys1Nm1zY09IQkFUcWV6R0txNXNNY2VlMHc1T1RrbGZoK1Vlbnh1QUFCUWpqSE1CQUN1a2VqbzZLNlNuRGFiN2IrU1N2NWIvMlVZTVdLRXRteko2NjNmdG0xYjFheFpzOGpqNnRhdHEzZmVlYWZJZlZ1M2J0V1JJMGZVdVhQbkl2YzdIQTYxYmR0V0ZTcFU4R2pQeU1qd2FNdkl5TkFQUC93Z1B6Ky9TNjdmNVhMSll1RjdLQUFBUUhsQm1BR2cxRGx5NUlobXpweXByVnUzeW02M0t6SXlVbVBHakZHZE9uVWs1WDF4blQ1OXVyNzg4a3VacHFuNzc3OWZnd2NQbG1FWVhxNzhvdTQyRE9QNTZPam9VNUkrbDdRMFBUMTk0Lzc5KzdPOVhkaTVWcXhZY2NIOU1URXhDZ3dzK29maWI3Lzl0c2Yyczg4K3EyN2R1a21TTEJhTDR1TGkzUHR5YzNOMXl5MjNlTFMxYXRYcW92WHQyTEZEYmRxMGtTVE5uejlmaVltSkdqZHUzRVhQUTlubGNybTBjK2RPL2QvLy9aK0dEQmtpZjMvUGYrTHMyN2RQMDZkUDE4NmRPMldhcGxxMWFxVVhYbmhCOWVyVjgxTEZBQURnYXZCakxBQ2xUbHhjbkZxM2JxMFZLMVpvOWVyVkNnd00xRXN2dmVUZXYyREJBbTNhdEVtZmZ2cXBQdmpnQTMzNTVaY1gvZkpkbWhpR1VkVXdqR2NNdzFnZkZoWjJJam82ZWw1VVZOUmZhOWV1SFhLdGEvbjg4ODhWRXhNamg4T2htSmdZZmZmZGQ1S2t5Wk1ucTJmUG5vVitGVFI4K0hCVnJseFpsU3RYVm5KeXNpcFhycXc3N3JoREZTdFcxTEZqeDFTeFlrVlZyRmpSSFdSY3JsV3JWcWw5Ky9idVgzZmNjWWRIM1pMMHhSZGY2S09QUGxLZlBuMnU4QjFBV1hIWFhYZHB4SWdSK3VTVFQrUnl1VHoyWldWbDZlbW5uOWJOTjkrc05XdldhTldxVmFwVXFaS0dEaDNxcFdvQkFNRFZvbWNHZ0ZMbjBVY2Y5Umd5OE9pamoyclFvRUh1b1FTTEZ5L1dNODg4by9Ed2NFbFNyMTY5dEhyMWF0MTMzMzNlS3ZscWhCbUdNY0F3akFIaDRlR1o0ZUhoeTEwdTF4ZG56cHo1djMzNzlxV1g5TTBmZXVnaFBmVFFRMnJidHExV3JWcmxibi94eFJjdmV1NnR0OTZxcGsyYmF1alFvYXBTcFlxR0RoMnFsaTFiYXV6WXNUcDY5S2c2ZCs2c3h4OS8zT01jbDh1bExsMjZGTHBXVVcweE1UR0tpWW1SSkIwOGVOQ2pwdDI3ZDJ2U3BFbmF2SG16NXN5Wm94dHV1T0ZTSHhsbDFJd1pNNVNUazFQbzk1d2tKU1VsS1MwdFRYMzc5bFhGaWhVbDVmMytXcjkrdlV6VDlJVmVYUUFBNEJ5RUdVRDVGbTIxV3IyK0xFUzNidDFrdFZyMSt1dXZTMUtodVE5T25UcWxLbFdxeUdLeDZJOC8vdEN4WThjVUVSSGgzbi96elRkcjhlTEY3dTBSSTBZczNyWnRtNnhXNjdWNWdPSVRLdWxSaThYeWFHaG9xRDA2T25xVmFacUxydFhOVGRPVXczSHBxMUwrL3Z2dmV1R0ZGL1RzczgvcXRkZGUwOUtsUzdWbHl4YmRlT09OMnJ0M3I1bzBhYUxubjM5ZS8vakhQOXhEaEN3V2l6WnMyT0MrUnY0d2s0SnRSUTB6K2VxcnI5UzllM2YzZHYvKy9UVmp4Z3d0VzdaTTFhdFh2NUxIdld5bDRjOEsvblR1NTBhelpzMjBhOWV1SW85dDFLaVI2dFdycDdmZmZsc2pSb3hRWm1hbTVzNmRxNy8rOWEvdUlNT0hQemNBQUNpWEdHWUNsRU9HWVp6d2RnMlh5dWwwYXVIQ2hlcmR1N2NrNmVUSms1S2txbFdydW8rcFhMbXkwdFBUQzNVdDkyV21hVnJPRGtjSkwrbDdIVDU4V0U2blU3MTY5ZEtQUC82b25Kd2M5ZXpaVTIzYXRORmYvdklYZGU3YzJUM001TUVISDNTZnQzLy9mZzBZTUVEdDJyWFRkZGRkcDFHalJpazdPMXVQUGZhWS9QejgxSzVkTzNYcjFrMFpHUm1TOG9LTGdJQ0F5NjR2SXlOREsxZXU5QmptRWhNVG93WU5HbWpObWpWWC93YWd6QXNJQ05Dc1diTjA2TkFoM1hQUFBZcUppVkdUSmswMGF0UW9iNWNHNy9qSjJ3VUFBSzRlUFRPQWNzZzB6VDFuZnhyNVZueDgvTEJTVUU4TlNSMGtmWEh1dnNtVEo4dGlzV2pBZ0FHUzhyNFFTNTY5Tnl3V2kwYzM4ZGRlZSsxQlNYR0dZU1NYYU9HWEtUbzZlcXBoR005ZjRKQXprdUlrTFhjNm5ZdDI3ZHFWSWtsV3EzVkdTZFgwL3Z2dmE4V0tGYkpZTEpvK2Zib3FWYXFrNnRXcmErblNwYnJycnJ2MC92dnZhKzdjdVpvNGNhSldybHpwc2NySmpoMDd0SEhqUnMyYU5VdDJ1MTBQUC95dy9QMzl0V25USmtsU2JHeXNKR25NbURHU3BPenNiRGtjRG84ZUZ2bUthaXRZWTZkT25WU2pSZzEzbTUrZm55Wk1tS0IrL2ZxcFVhTkdhdCsrZmJHOEh4Y1NIeC9QV0lSUzVFS2ZHMFhadkhtemZ2bmxGejM2NktNNmRPaVFWcTFhcFU2ZE91bVdXMjZSVkhvL053QUFRTkVJTXdDVVdtKysrYVpzTnB2bXpwM3JYamtqTEN4TWtwU2FtcXJRMEZCSjB1blRwMVc1Y21XZlhKclROTTFNd3pBMnVGeXVKVGs1T1VzU0VoSXlydVg5WTJOajlkUlRUNmxkdTNacTBLQ0I5dTNiNTlIcnBWR2pSanB3NElEZWYvOTlMVisrWEMrOTlKSk1NMisweGVEQmd6VjQ4R0F0WGJwVVgzNzVwZDUrKzIzM2ZBUkZTVXRMVTlPbVRiVnc0VUozVy80d2svWHIxN3ZiQ2c0eitmNzc3N1Z1M1RxUFlVUUZheHMvZnJ4R2poeXBTWk1tcVVPSERsZjFYcURzU2s5UDE1UXBVelIrL0hqM2hMUnZ2dm1tSms2YzZGT1RCd01BZ0Q4UlpnQW9sV2JPbktsTm16WnA5dXpaSGwrdWE5ZXVyWW9WSzJyMzd0MnFYYnUycEx6SklGdTBhT0d0VXE5RW1xUnZUTk5jbkp5Y3ZDSXBLZW1NdHdvcCtONUtjczkxVVZDM2J0MzAzLy8rVjRzWEwxYkZpaFgxNjYrL3FsYXRXanArL0xpbVRwMnFiNy85VnZYcjE5ZFRUejNsY1Y1cWFxcSsrdW9yOS9adnYvM21uanZqVWh3K2ZGaWpSbzNTbURGalZLbFNwU0tQNmR5NXM0WVBINjdodzRkcjBLQkJldXl4eHk3NStpZy9qaDQ5cXV6c2JJK2dySDM3OWxxNGNLRjdZbUVBQU9CYkNETUFsRHF6WnMxU1hGeWM1c3laVStqTHRzVmkwYjMzM3FzUFB2aEFVVkZSU2t0TDA5S2xTelYrL0hndlZYdFp0cmhjcmw0NU9UbGZKU1FrWFBwTW05ZlFoZzBiUElaOG1LYXBPKzY0UTE5KythWDI3OSt2Nk9ob2JkcTBTV0ZoWVJvMGFKQUdEaHlvN2R1M2ErblNwWVd1ZGU0S0pkdTNiMWZ6NXMwdnVaWmR1M2FwWDc5KzZ0U3BrK3gydXdJQ0FwU1ltS2lBZ0FENSsvLzUxMWVQSGoxVXJWbzFCUVVGWGNFVG96eW9YNysrd3NMQ05IZnVYUDN0YjM5VGRuYTJGaTVjS0t2VlNwQUJBSUNQSXN3QVVPck1uajFiVXVGNUZMWnMyYUxBd0VBOTk5eHptamh4b25yMjdLbUtGU3ZxYjMvN205cTJiZXVOVWkrTHpXWmI0dTBhenVWd09PUjBPdVhuNTZjREJ3NW81ODZkZXZYVlY1V1VsQ1M3M2U2ZTRQUGxsMS9Xa0NGRE5IRGdRQzFmdmx5dnYvNjZHamR1TEl2Rm9wZGZmbGw5K3ZRcGRPMzA5RDlYbG5VNm5WcTllclZtenB4WlpCMm1hU28zTjFjcEtTbnVPVkR5bDJXVnBBVUxGbWpXckZteVdDenEyN2R2b1MrZzdkcTFLNlozQkw2cVlLK0xncDhIMjdadFUzQndzR2JNbUtFcFU2YW9lL2Z1Q2drSjBXMjMzZWFlendVQUFQZ2V3Z3dBcGM2MmJkc3V1RDhvS0Vqang0LzNsZDRZcGRxc1diTzBjT0ZDZGUvZVhmdjI3ZE1UVHp5aDRPQmdiZG15UlhYcjF0WFFvVU1WR1JrcFNYcnJyYmUwZXZWcVRaZ3d3V01vU3VmT25mWGFhNjhWdXZiSWtTUGRyM2Z2M3EyNmRldXFZY09HSHNjWWhxSGc0R0M1WEM2MWI5OWVUcWRUN2R1M0x4UldEQnc0VUgzNzlsVlFVSkQ4L1B5SzhSMUFXWEd4ejQySWlBZ3RXTERnR2xVREFBQktHak96QStWUVZGVFVFSXZGOHBaOFlEV1RLMVNtVmlXd1dxMm1kUEV2YThYTk5FMlBWV0t1VmtaR2hpcFVxSERCK3ptZHppdGF2clVrNWYvRW45Vk1TaGMrTndBQUtOOFlLQXFnTkhCSktzNDVKTExQWGhOWG9UaURERWtYRERMeTcxZmFnZ3lVYW54dUFBQlFqaEZtQUNnTkhKS0s4NmVoeVNyZUx6a0FTaDgrTndBQUtNZVlNd05BYVpBdEtVbFNXMGsxSkYzcHNoVFp5dnRDa25UMk5ZQ3lpODhOQUFES01jSU1BS1ZCanZLK1RLUkpDdENWOXhwem5iMVc5dG4vQWlpNytOd0FBS0FjSTh3QTRIV0dZWmpLK3lMQlQwVUJYQkkrTndBQUtOK1lNd01BQUFBQUFQZ1V3Z3dBQUFBQUFPQlRDRE1BQUFBQUFJQlBJY3dBQUFBQUFBQStoVEFEQUFBQUFBRDRGTUlNQUFBQUFBRGdVd2d6QUFBQUFBQ0FUeUhNQUFBQUFBQUFQb1V3QXdBQUFBQUErQlRDREFBQUFBQUE0Rk1JTXdDZzlNdVNwSXlNREcvWFVlNWtaV1hsdjdSN3N3NEFBQUI0SXN3QWdGTE9OTTBFU1RwMDZKQzNTeWwzZnYvOWQwbVNhWm9IdlZ3S0FBQUFDaURNQUlEUzd3TkpldjMxMTdWdjN6NWxabVo2dTU0eUx5c3JTd2NPSE5EVXFWUHptNzd3WmowQUFBRHc1Ty90QWdBQUYyYXoyZVpGUjBjL3NIdjM3cTZQUFBLSXQ4c3BqNzUzT0J3VHZWMEVBQUFBL2tUUERBQW8vWEpzTnR2ZHBtbStLR21ucERQZUxxZ2NzSnVtdWRzMHpmSFoyZGtkRWhJU0hONHVDQUFBQUgraVp3WUErSVljbTgzMnFxUlh2VjBJQUFBQTRHMzB6QUFBQUFBQUFENkZNQU1BQUFBQUFQZ1V3Z3dBQUFBQUFPQlRDRE1BQUFBQUFJQlBJY3dBQUFBQUFBQStoVEFEQUFBQUFBRDRGTUlNQUFBQUFBRGdVd2d6QUFBQUFBQ0FUeUhNQUFBQUFBQUFQb1V3QXdBQUFBQUErQlRDREFBQUFBQUE0Rk1JTXdBQUFBQUFnRThoekFBQUFBQUFBRDZGTUFNQUFBQUFBUGdVd2d3QUFBQUFBT0JUQ0RNQUFBQUFBSUJQSWN3QUFBQUFBQUEraFRBREFBQUFBQUQ0Rk1JTUFBQUFBQURnVXdnekFBQUFBQUNBVHlITUFBQUFBQUFBUG9Vd0F3QUFBQUFBK0JUQ0RBQUFBQUFBNEZNSU13QUFBQUFBZ0UveDkzWUJBSUN5d1RUTlhwS0dTNHFXRk9UbGNwREhJV21YcERjTXcvakUyOFVBQUFBVUY4SU1BTUJWT3h0a0xQVjJIU2drVUZJclNRdE4wd3cxREdPT3R3c0NBQUFvRGd3ekFRQVVoK0hlTGdBWE5jVGJCUUFBQUJRWHdnd0FRSEdJOW5ZQnVLaWJ2RjBBQUFCQWNTSE1BQUFVQitiSUtQMEN2RjBBQUFCQWNTSE1BQUFBQUFBQVBvVXdBd0FBQUFBQStCVENEQUFBQUFBQTRGTUlNd0FBQUFBQWdFOGh6QUFBQUFBQUFENkZNQU1BQUFBQUFQZ1V3Z3dBQUFBQUFPQlRDRE1BQUFBQUFJQlA4ZmQyQVFBQUZMZTFhOWZxcnJ2dXVxeHpldmJzcVJVclZraVNFaE1UZGV6WU1hV2twQ2dsSlVYSGp4L1hpUk1uVkxObVRRMGJOcXdrU2dZQUFNQmxJTXdBQUpRNWt5ZFBkb2NaSFR0MlZMVnExVHoyLy9ycnI5cTZkZXQ1ejMvdnZmZjB6VGZmS0NRa1JIYTdYZDI2ZFZPVEprMFVHUmw1U2ZkLzZxbW50RzNiTm0zY3VGRWhJU0ZYL2lBQUFBQW9FbUVHQUtETVc3cDBxY2QybHk1ZDNLOEhEUnFrNU9Sa0hUOStYTEd4c1pLa3VYUG5hdHk0Y1FvT0RsYjc5dTAxZWZMa1M3N1gxMTkvcmNURXhHS3BHd0FBQUVVanpBQUFsQm5kdTNlWEpHVm1acXA3OSs3dUVPTCsrKy8zT0M0OVBkMzkrcDEzM3BHVU44eGswYUpGRjd5K3crRlFZR0RnZWZlZk9YTkcwNmRQMStPUFA2NXAwNlpkMFRNQUFBRGc0Z2d6QUFCbHh2cjE2eVhsRFMzSmY5MmdRUU10V0xEQTQ3aEhIbm5FL2ZyZi8vNjMzbjMzWFkrZUdiR3hzZHF6WjQ5U1UxT1ZuWjJ0Kys2N1R6azVPUW9QRDllOGVmUE9lLys1YytlcVRaczJpb2lJS081SEF3QUFRQUdFR1FDQU1pa3BLVWxWcTFaVlJrWkdvWjRaa3ZUNDQ0OXIvdno1NnRTcGt6cDE2dVRSTThObXM2bCsvZnFxVXFXS3Z2dnVPeTFac2tSK2ZuNFh2TitSSTBlMGZQbHlMVnEwU0VlUEhpMlJad0lBQUVBZXdnd0FRSm5nY0RpMGJ0MDY3ZG16UnhrWkdSbzhlTEJtenB5cDA2ZFBhOE9HRFpLa0pVdVdxSGZ2M3BMK25EY2pOalpXVHFkVFI0OGVkZmZNbUR4NXNobzNidXkrOXNXQ0RFbWFPbldxK3ZmdnIyclZxaEZtQUFBQWxERENEQUJBbWJGKy9YcTFidDFhRlNwVTBMSmx5enoyNWVUa2FNYU1HZTR3STkraVJZdTBiTmt5dmZMS0s1bzdkNjVDUTBPMWZQbHlmZnZ0dDBwSlNWRjJkcmFlZWVZWlpXWm1TcEx1dlBOTzllM2IxK01hY1hGeE9ucjBxQjUrK09HU2ZVQUFBQUJJSXN3QUFKUVJnWUdCbWo1OXVxUzh1U3ZPZGVyVUtkV3NXYk5RZTM2UGpqcDE2dWo1NTUvWFBmZmNJMzkvZnpWcDBrU1ZLMWZXOHVYTE5XWEtGRldvVUVHNXVibkt6YzB0ZEkwdnYveFN4NDRkVTlldVhTVkpMcGRMa25UMzNYZnIxVmRmVmR1MmJZdnpVUUVBQU1vOWk3Y0xBQUNnSk9WUHh2bkREei9veElrVDJyeDVzeVFwS2lwS2tqUnIxaXgxN2RwVmhtRm81c3laMnJoeG81bzFhNmFPSFRzcU1qSlNobUdvUW9VS2t2TG00WGp5eVNjTDNXUGF0R25hdEdtVDR1TGlGQmNYcDNmZmZWZVN0R2JOR29JTUFBQ0FFa0NZQVFBbzA2WlBuNjdqeDQ5ci92ejVHajE2dENaTW1LQzVjK2ZxalRmZWtOUHAxTjY5ZTkwVGhBWUZCV25hdEdscTJyU3ArM3lYeXlXSHd5RkoycnQzcjY2Ly9ucXZQQWNBQUFEK3hEQVRBRUNaa1o2ZUxvZkRvY0RBUUVsU2FtcXExcTVkcTA4KytVUWpSNDVVMjdadEZSa1pxU0ZEaHVqUW9VTjYrZVdYTlgzNmRGa3M1OC8yTzNic3FHN2R1c25mMzE4V2kwVVRKMDY4YUIwUkVSSGF0bTFic1QwWEFBQUFQQkZtQUFES2pLZWVla3JKeWNucTFhdVhiRGFiaGcwYnB1N2R1MnYyN05tcVZhdVdKS2xXclZxYVBYdTJoZzBicHA5Ly9sa3RXclNRSlBYcjE2L0lhMDZlUFBtYTFROEFBSUJMWTNpN0FBRFhYbFJVMUJDTHhmS1dwTGZpNCtPSGVic2UrRDdUTkUxdjExQVVwOU1wZjM5eSszeUdZZnovOXU0OE9Lb3FmLy80Yzd1VEFJbUVKYklKTGlBU2tDVjBBaklvbThGWUJiSUpTaWtpbXlBcUlnSU9TeGdWVkVSQlhCQVVoMFdFN3ppQXpFOWtaMEJBa1VVb0VyWUFBUXhZQWdxSUFSSUM2VTc2L3Y0SXVaTzJFd2dJNlhUbi9hcXk2SHZ1dVgwL1NjMFo2S2ZQUFllLzl3RUFRRUJnelF3QVFNQWl5QUFBQUFoTWhCa0FBQUFBQU1DdkVHWUFBQUFBQUFDL1FwZ0JBQUFBQUFEOENtRUdBQUFBQUFEd0s0UVpBQUFBQUFEQXJ4Qm1BQUJ1QktldkM4QlZaZm02QUFBQWdCdUZNQU1BY0NQczhYVUJ1S3FmZkYwQUFBREFqVUtZQVFDNEVkNzNkUUc0cXM5OFhRQUFBTUNOUXBnQkFQakxETVA0VXRLemtwSWt1WHhjRHY0blMxS3lwR0dHWVh6ZzYySUFBQUJ1bENCZkZ3QUFDQXlHWWN5UU5NUFhkZnhWVVZGUjFXMDIydytTN2t0TVREenQ2M29BQUFEZ2pUQURBSURMWW1KaTdqQk44d2ZUTkVzVFpBQUFBQlJmUEdZQ0FJQ2srdlhyMzJHYTVvK1NiaGU3c3dBQUFCUnJ6TXdBQUpSNERSczJyQlVjSEx4TlVvUWtHWWJCN2l3QUFBREZHR0VHQUtCRWE5U29VVTI3M2I1RFV2bmNOdE0wVi9xd0pBQUFBRndGajVrQUFFcXNSbzBhUmRydDl0MkdZWlRQMjI2YTVnNWYxUVFBQUlDclkyWUdBS0JFYXRTb1VZT2dvS0R0a2tybmJUZE4wMjIzMnhOOVZCWUFBQUFLZ1RBREFGRGlSRVZGMWIvOGFFbElQcWQvMmJGalIwWlIxd1FBQUlEQzR6RVRBRUNKRWhVVjViRGI3YnVVZjVBaHd6QU9GSEZKQUFBQXVFYUVHUUNBRXVQeUdobmJKTm12MEkwd0F3QUFvSmdqekFBQWxCaTdkKzlPTmswenlqVE5ZNlpwbXZuMWNidmRPNHU2TGdBQUFGd2J3Z3dBUUVsaTJHeTJVNUkyR29aaFhHN3pDRFd5czdQWnlRUUFBS0NZSTh3QUFKUVlqUnMzN21XYTVtbkRNSjZVbEcyYTVocEpUMHE2SUVtbWFicjI3Tm16MTZkRkFnQUE0S29JTXdBQUFTa3FLcXErdytGNExXK2IzVzcvU2xLMnBNV1ptWm5sRXhNVEgwNUlTRmlRa0pCd2k5dnRIaUhwb1A0MFV3TUFBQURGRDF1ekFnRDhYc09HRFdzRkJ3Y1BsTlJYVXFXODUyclZxdlZSU2tyS09VbTZ2T1Zxdm4vMzdkeTVjNUtrU1RlN1ZnQUFBUHgxaEJrQUFMOFVIUjI5WDFMZEszUTVicHJtWjhIQndlNmlxZ2tBQUFCRmd6QURBRkJzeGNURUJKdW0yVkhTc3k2WDYrVTllL1pZMjZhYXBubmNNSXk2bDErbjJteTIvM081WEhNa0plL2V2ZHNweWVXYnFnRUFBSEN6RVdZQUFJcVZoZzBiTmd3S0NwcHNHTVlEYnJlN3RHRVlOa2tLRGc1dUxja0tNMXd1MTFPbWFWNG9YYnAwWmtKQ0FzRUZBQUJBQ1VLWUFRRHd1YnAxNjBhRWhvWithWnBtYTBraHVkdW1Hb1loMHpTL053empuMWxaV1l2elhyTjM3OTZUUGlrV0FBQUFQa2VZQVFEd0tZZkRNZGd3akE4azJTK0hGMytZcGprdUxTMXR6dUhEaHk4b1ovY1JBQUFBd0VLWUFRRHdLWmZMdFRBa0pHU0thWm96ZzRLQ1h0MitmZnNwU1N6YUNRQUFnQUlSWmdBQWlsUmtaR1RaNU9Ua3ROemp2WHYzbnJ6dHR0dkNUcHc0a2VITHVnQUFBT0EvYkw0dUFBQlFjamdjam52RHdzSitjemdjYy9LMkUyUUFBQURnV2hCbUFBQ0tSRlJVVkhYRE1MNlhGQ3Fwb2lURHh5VUJBQURBVHhGbUFBQ0toTjF1WHl3cHdqVE43OUxTMGg2WFpQcTZKZ0FBQVBnbndnd0F3RTBYRXhQenVLUW1rbjUxT3AwZERoOCtuT25ybWdBQUFPQy9DRE1BQURlZGFaclBYZjd6azZTa3BIUmYxd01BQUFEL1JwZ0JBTGlwR2pSb1VNVTB6VGFTWkxQWjN2ZHhPUUFBQUFnQWJNMEtBTGlwZ29PREd4aUdZVE5OYzNOQ1FnSzdsZ0FBQU9BdlkyWUdBT0NtTWsyenBpUVpobkhRMTdVQUFBQWdNQkJtQUFCdUtwdk5kc3ZsbCtkOFdnZ0FBQUFDQm8rWkFJQi9DSXFPam43YU5NMytrcUlNd3dqemRVSFh3alJOU1JvU0hSMDl4TmUxRkZLR2FacEprbVluSmliT2t1VHlkVUVJS0g0OW52MFE0eGtBQWhBek13Q2crQXVLam81ZUtHbTJZUmozKytNSEg4TXdaQmlHcjh1NEZxR0dZVFExRE9OVGg4T3hVbEt3cnd0Q3dQRDc4ZXlIR004QUVJQ1ltUUVBeFZ4MGRQVFRraDZ0V2JPbXhvd1pvOXExYTZ0czJiSytMaXVncGFlbjY4aVJJNW80Y2FMMjdkdlgxdUZ3REU5TVRIekgxM1hCL3pHZWl4N2pHUUFDRXpNekFLQ1l1endWWFdQR2pKSEQ0ZUNEVHhHNDVaWmIxTEJoUS8zakgvK1FKQm1HOGFTUFMwS0FZRHdYUGNZekFBUW13Z3dBS1A2aUpLbDI3ZHErcnFQRXFWR2pSdTdMZTN4WkJ3SUs0OWxIR004QUVGZ0lNd0NnbU10OXBwNXZjSXRlV0ppMW5FRVpYOWFCd01GNDloM0dNd0FFRnNJTUFBQUFBQURnVndnekFBQUFBQUNBWHlITUFBQUFBQUFBZm9Vd0F3QUFBQUFBK0JYQ0RBQUFBQUFBNEZjSU13QUFBQUFBZ0Y4aHpBQUFBQUFBQUg2Rk1BTUFBQ0FBdU4xdVg1Y0FBRUNSSWN3QUFBRHdVeTFhdExCZWp4bzFTc25KeVFYMmRUcWRXcjE2dFV6VGxDUXRXTEJBNmVucDEzWGZOV3ZXYU8vZXZWZnNjL0RnUVIwNWNxUlE3NWVVbE9SeGJKcW1kdXpZUVVBREFDZ1FZUVlBQUlDZnUzVHBrclp2MzY2NzdycXJ3RDdqeDQvWCt2WHJaUmlHSk1ubGN1bjc3Nzh2c0grVEprM1V1blZyNjcrNHVEanJYRVJFaE1hTUdhTS8vdmlqd090bnpacmxGVklVcEgvLy9oN0hwbWxxNXN5WldyQmdRYUd1QndDVVBFRytMZ0FBQUFDRjE2dFhMODJkTzllamJmMzY5YXBkdTdaS2xTcmwxZC90ZG12U3BFbGF0V3FWYXRXcXBVUUZoZXNBQUJka1NVUkJWQ2VmZkZLU2xKS1NvbHExYW1uZXZIa2UvYWRObTZhS0ZTc3FQRHhjNjlhdDB4ZGZmS0hldlhzckxpN09ZeVpJZG5hMk9uWHFaQjJQR0RGQ2t5ZFBsaVJsWldYSjZYUnE2OWF0bWpScFVvRS95M2ZmZmVkeEhCc2JhNzEydVZ3NmNPQ0Fac3lZWWJXdFhidFdOaHZmeFFFQUNETUFBQUQ4eXFGRGg3emFGaTVjcUlNSEQ2cDE2OWFTcEFzWExpZzBORlNTVktkT0hRVUZCY2t3RElXRWhGalgvUGxZa3RxMWE2ZUtGU3Q2dE9XR0daSjA4ZUpGYmR1MlRYYTczVHFmbloydCsrNjdUNTA2ZGJMQ2pYLzg0eCtxWHIyNm5uLysrU3YrTEk4Ly9yak9uRGtqcDlPcDJOaFluVHQzVHR1MmJWTkdSb1pDUWtJOHdwbVltQmpyRVJrQUFBZ3pBUGdkMHpRTlNTR1NTa2tLVnNHUHpMa2x1U1JsU25JYWhzRy9nZ0VFbkYyN2RtbjM3dDE2OWRWWDFhVkxGMG5TQXc4OG9MVnIxeW9vS0VqVHBrMVQvLzc5MWJWclYzM3h4UmZXZGUzYXRmTTRMb3lvcUNqck1aVmNobUVvS2lyS090NnpaNDlPbkRpaFBuMzZlTXkweUhYcDBpVmxabVpxNGNLRit1cXJyeVJKelpzMzE3cDE2N1J6NTA3WjdYWk5uVHBWa2pSNjlHanJ1bG16Wm5tRUtBQ0FrbzB3QTRBL0NwWlVTVktOeTMrR0ZORFBLZW0wcEdPU1RsMCtCb0NBTW1mT0hFVkdSdXFYWDM2UkpKMDllMWFob2FIV3JJdkJnd2RMa2xKVFU2MFpGdmtkU3prQnh4TlBQT0hSbHZleGp0bXpaM3ZkMzJheldlMFpHUmthTjI2Y3BrK2ZybHR2dlZYcjFxMnorcmxjTGkxWXNFRC8rYzkvMUx0M2I5V3NXZFBydlJvM2Jxd0xGeTVvMWFwVlhvL1NORzdjK09xL0RBQkFpVUdZQWNBZmxWSk9rTEdsa1AyYlN6b253Z3dBQVdqZ3dJRXlUZE5hbTJMLy92MnFYNysrVjc4S0ZTcGM4OHdNbDh1bG9LREMvWFBSN1hacjNMaHhPbnIwcUc2OTlWYXY4OTI2ZFZPblRwMzA1WmRmcWt5Wk1sYjc4ZVBIbFpXVnBSNDllaWc1T1ZraElTRUtDZ3F5RmdXOWRPbVNzck96RlJZV3Bva1RKOHJoY0JTcUhnQkFZQ1BNQU9DUFFwUXpJNk93cmpSN0F3RmkzNzU5cWxldm50Y1VlQ0JRNWU0a1VyZHVYVWs1TXkxT25EaWhEUnMycUZXclZ2bjJ6MTM4VTVMS2x5L3ZjWnpyd3c4L1ZKVXFWU1JKNTgrZjF5MjMzRktvZWhZdVhLaktsU3NyT0RoWWJyZGJEejc0b01mNTlQUjB6WnMzejJQQjBYTGx5dW5zMmJNeURFTmp4b3pSUGZmY284NmRPK3ZERHo5VVpHU2tKR25NbURHcVY2K2VldmJzV2FnNkFBQWxBMkVHQUg5azA3V0ZFNlhFVnRUcTBLR0RsaTFiVnVqK0owK2V0RDdRakJ3NVV1KysrNjVPbkRpaDhQQndqdzgzSDN6d2dZWU9IU29wNXh2VzZ0V3JlNzFYUmthR2xpeFo0alY5L1VaNit1bW50V1hMRnE4RkRZRkFranRMNFpWWFh0SHUzYnM5emozMTFGT2FQSG15a3BPVE5XVElFSzlyWjh5WW9VYU5HbG5IaGZuL2hKU1VGSjA1YzBiSGp4L1BkNmVVdkI1KytHR0ZoWVZwMGFKRnN0bHNYanVWTkczYTFLdnRoeDkrVUxObXpkU3FWU3ZWcjE5ZjgrZlBWOW15WmExSFVFNmNPS0dOR3pkcTJMQmhWN3czQUtEa0ljd0FnQ0xpY0RqYVNzcEtURXpjSkNtcnFPLy82NisvU3BJT0h6NnNQbjM2Rk5odjNyeDVxbGl4b2dZT0hLZ0pFeWFvWHIxNit2Nzc3eVZKbzBhTjB0TlBQNjI0dURocmU4Z3Z2L3hTUTRjT2xkdnQxcXV2dnFvNmRlcm83My8vdThkQ2ZXWEtsTkhTcFV2VnBFa1QxYTVkMitOK1RxZFR6WnMzOS9yMk56MDkzYU10UFQzZGF4ZUZxM0c3M1d6amlKdkNWK1A1NTU5L1ZuaDR1Qm8zYnF5MzNucExEejMwa0hXdVU2ZE9tajU5dWxxMWFtWHRaQ0pKdzRjUHQ5YlRrS1RNekV3ZE8zWk1rdFN5WlV0VnExYk40eDRMRnk2VUpDMWZ2bHp2dmZlZTdyMzNYZzBiTmt3TEZpeTRZbTEvM2dXbE1QSnU5WnBiejhHREI5V2xTeGYxNk5GRDY5YXQwNU5QUHFtSWlJaHJmbThBUUdBanpBRGc5L2JzMmVQMTRieGJ0MjZLajQvM1RVRUZhMmNZeG5DSHcvR0hwQVdTL2w5YVd0ckd3NGNQWnhabEViVnIxOVlQUC93Z1NlcmV2YnZHangrdmUrNjVSMUxPTjZzaElTRXFWNjZjaGcwYnBxRkRoK3JycjcrV0pLMWV2Vm8xYXRSUVhGeWNKTy90SVcwMm16Nzk5RlBGeDhkci92ejUxZ2VpdklZUEgyNjlybENoZ3ViTW1XTmRtL2NiMjl5dEh2TzJ4Y1RFWFBWbjI3VnJsNW8yYlNvcFoxSEVvMGVQYXV6WXNWZTlEcmdPUGhuUGtaR1JXckZpaGRjTXBPUEhqK3UxMTE1VG16WnRsSktTb3Y3OSs2dHYzNzVxM3J5NUprK2VMQ2tuM0Z1N2RxMisrT0lMalJzM1RwOTg4b2s2ZHV5bzFOUlU5ZXZYVDFXclZ2VjR6NFNFQksxYnQwNkxGaTNTcWxXcjlOcHJyMW52ZGJOVXIxNWRyNzMybW5idTNLbUJBd2NxS3l0TDdkcTFJNWdFQUhnaHpBQVFNRFp1M09qeGJXUnhaUmhHUlVuUFMzbytQRHo4dk1QaFdHU2E1bjlPblRxMTRjU0pFeGszK241dXQxdW5UNStXSksxYnQwNG5UNTVVdFdyVjFLWk5HN2xjTG8rRitGd3VseldWdkZXclZycnR0dHVzOC9YcjEvZjZGald2aXhjdktpTWpRNU1tVFpKaEdIcnFxYWUwZHUxYWJkKytYYU5IajFiZnZuMzE4Y2NmRi9yNSs0SXNXN1pNNzd6empuVnNHSVkyYnR3b1NWcXdZSUdhTm0ycVJZc1dhZDY4ZWZya2swLyswcjJBcXlucThTekpLOGlZTjIrZTVzNmRxeGRmZkZHZE8zZVcyKzNXTjk5OG8vSGp4MHVTWG5ubEZSMDhlRkFiTm14UXMyYk45TWtubjZoY3VYS2FQbjI2bm4vK2VSMDRjRURqeDQrWDNXNVhtelp0MUtwVkt5VW5KMnYwNk5HYU1HR0NJaUlpOU5SVFR5a3FLa3F4c2JHNmVQRml2blZ0MmVLOUpyUFQ2VlJtWnFheXM3TVZIQnpzZFQ0ek0xT1hMbDJ5Wmx6OS92dnZXcng0c2Y3OTczK3JaOCtlYXRPbWpUNzQ0QU45OWRWWEdqRmloSm8wYWZKWGYzMEFnQUJCbUFFQXZoVnVHRVkvd3pENlZhMWE5VUxWcWxVWHU5M3VSUmN2WHZ3Mk9UazU3VWJjNFAzMzM5ZW1UWnNrU1JzMmJGQ1ZLbFZVcTFZdFNUblAzK2NOTXpJek02MHdJeVltUnBVclY1YVVzMURnZ0FFRGRPclVLZTNZc1NQZisremR1MWV2di82NlhuenhSYlZ2MzE1dXQxdXpaczNTbTIrK3FjVEVSQjA0Y0VDOWV2V3krci96emp1cVU2ZU9wSnpBSlRZMjF1czk4MnZyMEtHRE9uVG9JQ25uZWY3Um8wZGI1L2J0MjZlMzMzNWJtemR2MW93Wk02eWZFeWdpTjMwOC85a3JyN3lpZXZYcXFWMjdkdFlPSWphYlRZOCsrcWc2ZGVxa1hidDJhY21TSldyY3VMRm16WnFsc0xBdzY5cmM4VjIzYmwxOS9QSEhPbmp3b0Zhc1dLRUdEUm9vTWpKU1U2Wk04ZGdPdFVHREJoNWJyUllrYjloeTVzd1o5ZXpaVTZacDZySEhIdlBxMjZWTEYvM3h4eC9xMHFXTFRwNDhxZTdkdTZ0dDI3YWFPWE9tdFc3R3JGbXp0R1RKRW8wYk4wNExGaXp3aTlBYUFIRHpzZVE3VUFJMWJ0eDRpTTFtKzlEWGRWeXZDaFVxS0RvNldoTW5UcFQwdjhkTUNwcVpNWExrU08zWXNVT3BxYWxGWGVwZmNjazB6V1dtYVM2MDJXd0xKUlVZSWhSV1RFeU0xM3UwYk5sU2E5YXNVZW5TcFNWSlRabzAwZWJObXhVU0VxTG16WnQ3ZmRPYXR5MzNkZE9tVGJWOSszWkowb0VEQi9UT08rOW82dFNwV3JSb2tmNzFyMzlwelpvMWV2YlpaelZvMENDVktWTkdkZXJVVWNlT0hUVjc5bXhWcWxSSlRxZFREenp3Z1BVZTB2OGVNOGxiYjB4TWpOZWFHVk9uVGxYcDBxWFZ2MzkveGNURWFOU29VWm95WllxKy92cnJmTGVHdk43ZkcvQVgzZkR4SEtpY1RtZUJpL2htWldVVmVwdllndVNPNTRTRUJQNE5EQUIram9jUGdSTElNSXlEa3B5K3J1TkdhOW15cFZxM2JxMzQrSGlkUFh2VzErWDhKYVpwMmd6RHFHZ1lSdFdyOTc0K1RxZFRXVmxaVnBEaGREcGxHSWIxUWNMcGRGcXpJSEwvY3pxdi9EK2J1blhyYXM2Y09UcDA2SkJtelpvbFNWcTZkS2tTRWhLVW1wcXErUGg0SFR0MlRIYTdYWlVxNWV5dVc5RDA4NnRKVDAvWDBxVkwxYmx6WjZ1dFE0Y091dlBPTzdWeTVjcHJmai9nWmltSzhSd29yclFiMFY4Tk1nQUFnWVcvRllBU0tERXhjYVZ5dGl2MVM2WnBWcExVU3RJaVNicjMzbnUxYWRNbUJRY0g2L0Rod3hvM2JweGVmLzExZmZUUlI1S2tkOTk5OTNGSjN4bUdjZHAzVlVzT2grTTl3ekNHWDZITFJVbmZTVnFjbFpXMWNNK2VQYW1TRkIwZFBlVkcxcEdXbHFhZE8zZXFTcFVxSHR1b1ptUmtXTUdHbFBPaDRzL2JOalp2M3Z5cTcvL3BwNTlxdzRZTmlvK1AxL3Z2djYvRXhFUzk4TUlMMnJadG01NTc3amt0WHJ4WWJkdTJ0ZnBuWm1iSzZYUmFDNHZtbFY5YnJ1blRwNnRObXpaV0tDSkpkcnRkYjc3NXBucjE2cVdhTld0ZWNZMlBhOFUzdWNpcnVJeG5BQUJLS21abUFQQjdkcnRkcFV1WGx0MXVWMlJrcEFZTkdxUXRXN2JJN1hiN3VyU3JNazN6Z3FTbGJyZTdUMlptWnVXRWhJUjJDUWtKbitWKzhMbUI5NUdVczlWaXQyN2RsSlNVcEEwYk5uZzhRcEdlbnU2eGZzYjErUG5ubi9YTk45L28vZmZmVjd0MjdTUkpZOGFNMFJOUFBLRU5HemFvWHIxNldyRmloYnAyN1dwZGMvNzhlVVZHUm1yTm1qWFdmNnRXclpJa2o3YThmdnp4Ui8zM3YvL1ZDeSs4NEZWRHpabzE5Y1liYjJqVXFGSFdsckpBVVNpcThWd1lLU2twZXV5eHgzVHc0TUhydXY3MDZkUGF2SG56RmZ2czM3OWZQLzMwazBkYmRuYTJsaTVkZWwzM0JBRGdXakF6QTBEQWNUcWRLbFdxVkhIZXh1KzhwTFdtYVg1MSt2VHBiNDRkTzViLzFnQTNVSEp5c2lScHhvd1pldnZ0dDFXN2RtMTE2OVpOSDMvOHNkWG4zTGx6SG9zRE9wMU9LNURJMjVZcnY1MExkdTNhSllmRDRUSGp3MjYzS3pRMFZOMjdkMWZQbmozVnZuMTdqL1BIangvM09MNmFuMy8rV2ZIeDhYcjExVmRWcmx5NWZQczgrT0NER2pGaWhFYU1HS0ZCZ3dicDZhZWZMdlQ3QTllb3lNZnoxYVNrcEdqUW9FRTZmLzY4aGcwYjVuRXVLeXRMN2R1MzEwc3Z2WFRGOTNDNzNSbzdkcXcrLy96ekFzZm56Smt6ZGYvOTkrdnV1KysyMmpJek16VjI3RmgxN05qUnEzLzc5dTFWbzBZTlNWSlNVcExxMTY4dktXZng0QVlOR2xqOVRwNDhxVysrK2Fad1B5d0FvTVFpekFEZzk5YXRXNmZJeUVoVnJWcFYrL2Z2MTVRcFV6eldVU2hHdHJqZDdrZGRMdGVLcEtTa0lsMnpwR3JWcXVyVHA0K2VmZlpabWFhcElVT0dxRTJiTnJyampqdDAvdng1aFlXRjZjY2ZmMVNWS2xXc2EwSkNRcnpXbnJqYVl5YmJ0bTJUdytId2FuZTVYRHA2OUtpMWZXdmVSZjUyN3R4cGZhZ3BqRDE3OXFoWHIxNXEwNmFOTGwyNnBPRGdZQjA5ZWxUQndjRWV6OVIzNnRSSkVSRVIxdTRzd0EzbXMvRjhKVXVYTHRYczJiTTFmUGh3UGZUUVF4N25saTFicGxXclZxbEhqeDVlMThYRXhLaGF0V29lYlNFaElSbzRjS0JYM3c4Ly9GQzFhdFZTWW1LaWhnNGRlazMxWldWbFhmVTFBQUNGUVpnQndPL3QyYk5INDhhTlUwWkdoaXBYcnF5T0hUdHF3SUFCdmk3TFMySmk0bjk4ZGUveTVjdHI4T0RCY2pxZGV1YVpaeFFlSHE2UkkwZHE5KzdkMW9lVjBOQlFhNGVZUHp0NzlxeXlzckprR0RuTFJwdzVjMGFwcWFrNmQrNmNGU0NZcHFtdFc3ZDZiTDhxeVZySEpDd3NURXVYTHRXa1NaUFV2WHQzUGZmY2Mzcm9vWWUwZlBseVRaMDZOZC83bXFhcDdPeHNwYWFteW1henlUQU1hMXRXU1pvN2Q2NCsrK3d6Mld3MjllelowMnMyemdNUFBIQjl2ekRnS253NW5ndnkxVmRmYWYzNjlUcDc5cXdtVDU2c3laTW5XK2RNMDlUcDA2Y1ZFUkZoelZTNjU1NTdOR1ZLemhJZXVXdmtyRnk1VXMyYU5kUGV2WHQxL3Z4NWRlalFRUWtKQ2ZyMjIyODFZTUFBbFM5ZlhsSk9DSm1XbHFZbm5uaENVczZzcmZqNGVEMzg4TU1GMWhjUkVhSFpzMmQ3dEIwNGNFQjE2OWIxYU92VHA4OWYvbDBBQUFJZllRWUF2emRreUJBTkdUTEUxMlg0aFpDUUVBMGZQbHlOR2pXUzNXNVhreVpOdEdYTEZybGNMbXZka2Z5c1hMbFNYMzc1cFJVa25EbHpScSsvL3Jwc05wdTFia1Y2ZXJxYU5XdW0yclZyVzllVkxWdFdpeGN2MW9NUFBxZytmZnJJWnJOcDRzU0pXcjE2dFg3NjZTZnQyN2RQTldyVTBGMTMzZVZ4UDhNd1ZLWk1HYm5kYnJWbzBVSlpXVmxxMGFLRlYxanh6RFBQcUdmUG5pcFZxbFNCdFFNbFJlZk9uZFcxYTFlMWJ0MWE2OWV2diticno1dzVvNWt6WnlvdUxrNmJObTJ5UWdhSHc2SGp4NC9yODg4L3QyWmlyRnExU3YzNjlkUHp6ejh2U1JvOGVMQWlJaUtzOXhvM2JweTZkZXRtUFQ3U3UzZHYyV3cyOWU3ZDIrT2UrWVVaQUFBVUJpdXpBL0E3Zjk3TnBCQ0t4VzRtMXlzNk90cVVwQjA3ZHZpNmxKc2lQVDFkdDl4eVM0SG5UZE5VVmxiV2RXM2ZlaVBrTHBMS2JpYTRFWXBpUExkczJWSWJOMjY4cG11YU4yK3VOOTU0dzVvbGRlTEVDVldyVnMyYWpaWFg3Tm16MWJWclZ6MzY2S042K2VXWEpVbVBQUEtJWnN5WW9mTGx5NnRseTVhYU1HR0NKa3lZb0w1OSszck4xc29yTGk3T2E0SGZtNG54REFDQmc1a1pBUHlSVzlLMVBLT2VlZmthRkVOWENqS2tuRmthdmdveUFIL2pjcms4MW9scDBxU0pxbGF0NnRIbjFLbFQyclp0bTNYc2RydGx0OXNWRnhlbnVMZzRIVDkrWEFNR0ROQ1NKVXZ5dmNlY09YTlV2WHAxYmQ2OFdTKy8vTEtPSFRzbXd6QjAyMjIzS1NNalE1TDA4TU1QcTA2ZE9ucjU1WmQxN3R3NURSNDhXSkwwdDcvOVRmZmVlNi8xWHJmZmZydjY5ZXRuSGYvNjY2OWVhL1VBQUpBZndnd0Evc2dwNlZwbVdaeld0WVVmQU9DWDB0TFNQQUxDMHFWTGE5bXlaZFp4ZG5hMjE3b1dHUmtaQ2cwTnRZNVhyRmloa3lkUHFsT25UdGFhT0ptWm1iTFpiRnE2ZEtuQ3dzSVVIeCt2Tjk1NFE4bkp5ZHF3WVlQYXRtM3JWY3RkZDkybHVYUG5LaTB0emFNOTcwSzlBQUJjTC80MkFlQ1BNaVVkazlSY1VpVkpCVzFYa2FtY0lPUFk1ZGNBRU5CU1VsSjB4eDEzZUxXN1hDNFpocUdrcENSVnJselo0OXp2di8rdWloVXJTc29KTmhZdVhLaXVYYnVxWXNXSzFwb1lJMGVPVktOR2pTUkpqei8rdVBYbnRHblR0SC8vZnMyYU5TdmZlc0xEd3hVZUhuN0RmajRBQUhJUlpnRHdSeTdsaEJUbkpRVkxzaFhRejMyNWIrYmxQd0Vnb0czZnZ0M2pNWTVjZS9mdTFVc3Z2YVN5WmN0cTZOQ2hTa3BLMGc4Ly9LQ0JBd2ZxMEtGRHV2dnV1eVZKbjMzMm1WcTFhcVVSSTBhb2YvLyt1djMyMjNYbzBDRzUzVzZ2TFYwN2QrNnM2ZE9uS3lvcUt0OEFKVDhWS2xUUVAvLzV6d0xQdDJ2WDdocCtXZ0JBU1VhWUFjRHZHSVpoS2llZ1lMWUZBRnlXbFpXbDVjdVg2Nk9QUHJMYVROUFVwVXVYNUhBNFBCWUZuVGx6cHJVRDBIZmZmYWRtelpwcDA2Wk5XcjE2dGViUG42L2c0R0FOR3paTS9mdjNWL255NVRWLy9ueVB4VUJkTHBjbVQ1NnNzbVhMNnNDQkF4bytmTGphdFd1bjZ0V3JTOHJacWxYS1dZL0Q2WFJhc3pOU1UxUDE3TFBQM3ZUZkJRQWc4QkZtQUFBQUJJREZpeGZyamp2dXNHWlpTRktIRGgzMHlDT1BLQ1FreEdvelRWTVZLMWJVUng5OXBHUEhqbW5MbGkzcTI3ZXZCZzRjcUxGangrckhIMy9VbWpWcmxKS1NvcmZlZWt1Ly9QS0xldlRvb2Z2dXUwLzMzMysvYXRTb29UZmZmRk9WS2xYUzNMbHpGUndjck9YTGwydlpzbVU2Y3VTSVFrTkRkZi85OThzMFRSbUdvZnZ1dTA4WExseXc3cCtaV1hBT25acWFxdDY5ZXlzMk50WnJHMWNBQVBKaVd5b0FLT1lDZld2VzRvNnRISEVqM2N6eGZQcjBhV1ZrWk9qT08rOHM5RFVaR1JuYXVuV3JZbU5qZGZMa1NkbHNOazJiTmsyeHNiRnEwYUtGYkRhYjFlL2JiNy9WYjcvOXBoNDllbWpyMXEzNUx2cVpWMjZZVVp3d25nRWdjREF6QXdBQUlBQlVxbFRwbXE4SkRRMVZiR3lzSktsS2xTcVNwTEZqeCtiYnIyUEhqdGJ4MVlJTVNjVXV5QUFBQkphQ0ZzMERBQUFBQUFBb2xnZ3pBQUFBQUFDQVh5SE1BQUFBQUFBQWZvVXdBd0FBQUFBQStCWENEQUFBQUFBQTRGY0lNd0FBQUFBQWdGOGh6QUFBQUFBQUFINkZNQU1BaXI4TVNVcFBUL2QxSFNWT1JrWkc3c3RMdnF3REFZWHg3Q09NWndBSUxJUVpBRkRNbWFhWkpFbEhqaHp4ZFNrbHpxKy8vaXBKTWswenhjZWxJRUF3bm4ySDhRd0FnWVV3QXdDS3Y5bVNOSEhpUkNVbkordkNoUXUrcmlmZ1pXUms2S2VmZnRKNzc3MlgyN1RJbC9VZ29EQ2VpeGpqR1FBQ2srSHJBZ0FBVnhYc2NEaFdHb2JSMXRlRmxGQS9abVptdGtwS1NuTDZ1aEFFQk1hemJ6R2VBU0JBMkgxZEFBRGdxdHkvL2ZiYnY2dFdyWnBoR0VabFNlR1NnbjFkVklDN1pKcm1RVW1mT3AzT2Zuend3UTNFZUM1NmpHY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VVovOGYxdDV6ZUdaSHdtc0FBQUFBU1VWT1JLNUNZSUk9IiwKCSJUaGVtZSIgOiAiIiwKCSJUeXBlIiA6ICJmbG93IiwKCSJWZXJzaW9uIiA6ICIiCn0K"/>
    </extobj>
    <extobj name="ECB019B1-382A-4266-B25C-5B523AA43C14-2">
      <extobjdata type="ECB019B1-382A-4266-B25C-5B523AA43C14" data="ewoJIkZpbGVJZCIgOiAiMjQ2MjgxNTQ4NzI2IiwKCSJHcm91cElkIiA6ICI2MTcyMTE1NTEiLAoJIkltYWdlIiA6ICJpVkJPUncwS0dnb0FBQUFOU1VoRVVnQUFBZmtBQUFMTENBWUFBQUQ2N1B2ZkFBQUFDWEJJV1hNQUFBc1RBQUFMRXdFQW1wd1lBQUFnQUVsRVFWUjRuT3pkZTF4VWRmNC84TmRuR0VkUUFTK1ptbTJHV3U3KzJySVp2Q0dVZVZ0MXN6VHpBcElYTE84UDA4VFFkZFZjN1dLbW01SHRtdHBXYWhLS2VFUFpYUzlob29RS1l4SjlWOE9rTUFySUMzZGtaczduOXdjeU1Wd1VFRGpPNGZWOFBIekVmT1p6enVjOU1KM1huSE0rNXd4Q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WRzFDN1FLSTFHWXltWTRBR0tCMkhWUjlVc3BUWnJPNXQ5cDFFTjN0ZEdvWFFIUVhZTUE3R1NGRUw3VnJJSElHZXJVTElMcGJKQ1FrcUYwQ1ZZTzN0N2ZhSlJBNURlN0pFeEVSYVJSRG5vaUlTS01ZOGtSRVJCckZrQ2NpSXRJb2hqeVJFMUVVQlcrODhRWnUzTGhSN1dXU2s1T3hiOSsrQ3UxcGFXa0lDd3VyeS9LSTZDN0QyZlZFVGlRdUxnNC8vUEFEbWpadGFtL3IxNjhmM04zZEhmcjk4c3N2T0hQbURBQWdJaUlDWGJwMHFiQ3VkdTNhSVNvcUNpTkdqRUN6WnMzcXQzQWlVZ1ZEbnNpSi9PdGYvOExGaXhjeGZQaHdHQXdHUkVaR0FnQ2lvcUljK3ZYcjF3OEFrSkdSZ1gvLys5OW8xYW9WZHU3Y2lWZGVlUVVMRml4QSsvYnQ3WDNIamgwTEFNak16TVQrL2Z2UnJsMjdCbm8xUkZUZkdQSkVUcUkwckdOaVlxcTl6T3JWcXpGcDBpVE1tREhEM3VicTZscmhRd0VBakJvMXFpN0tKS0s3Q0VPZXlFazg5TkJEMkxkdkgzcjM3bzIyYmR0aXdvUUpHRGR1SEFCZytQRGhEbjN6OC9OUlZGU0VKazJhNE1DQkE0aUtpa0tyVnEyd2RldFdyRjI3dHRMMUwxdTJESzFhdGFyMzEwRkVEWWNoVCtRa3VuVHBnbi84NHgvbzE2OWZoVDN4eWc3WHU3cTZZdFdxVlFCS1BnUnMzYm9WQ3hZc1FISnlzcjFmVmxZVzJyWnRhMzhjSFIxZGo2K0FpQm9hUTU3SXllM2Z2NzlhYlFDd1pzMGFaR1ptd3QzZEhXNXVidkR6ODJPd0Uya1lRNTdJU2V6ZHV4ZWJObTFDZm42Ky9mQjhSRVFFQmd3WTRMQTNYcXFnb0FBdFc3WUVVREtwYnNTSUVWaThlREUrL2ZSVGpCMDdGazg5OVZSRGxrOUVLbURJRXptSkVTTkdZTVNJRVJVTzF6ZHYzcnpTdmZGKy9mcGg3OTY5QUVvTzE1ZisvTlpiYnpuTW9COHdvT1JMK0Z4Y1hIRG8wS0g2ZkFsRTFNQVk4a1NOeEkwYk4vRHJyNzhpTFMwTmlxTFkyNDhlUGFwaVZVUlVuM2pIT3lJbmRQNzhlUVFIQjhOaXNkeTI3NVVyVjVDYm00dmc0R0JzMnJRSkF3WU13TktsUy9IRkYxOUFTdW5RdC94akluSnUzSk1uY2lKcGFXbkl5OHZESzYrOGdpbFRwc0RGeFFYNStma1lObXhZbGN0a1pHU2dUNTgrR0RkdUhKWXRXNGJQUHZzTXYvenlDOTU5OTEwb2lvTCsvZnZEYXJXaXFLZ0lVVkZSdkJrT0VSRnBoOGxra2lhVFNUcUQ0dUppdVgzN2Rubmp4ZzE3MjZ1dnZscHAzL0x0VnF0VnBxYW1PclFwaWlLTGk0dmxqUnMzcE1WaXFmdUM2MEhwMzB2dDl3MlJNeEJxRjBDa3R0TEFTRWhJVUxzVXFnWnZiMjhBUUdKaUlyZGZSTGZCYy9KRVJFUWF4WkFuSWlMU0tFNjhJN3FwOURBd0VaRldjRStlR2owcDVTbTFhNkFhKzBidEFvaUlpRlREV2VoRXhEMTVJaUlpaldMSUV4RVJhUlJEbm9pSVNLTVk4a1JFUkJyRmtDY2lJdElvaGp3UkVaRkdNZVNKaUlnMGlpRlBSRVNrVVF4NUlpSWlqV0xJRXhFUmFSUkRub2lJU0tNWThrUkVSQnJGa0NjaUl0SW9oandSRVpGR01lU0ppSWcwaWlGUFJFU2tVUXg1SWlJaWpXTElFeEVSYVJSRG5vaUlTS01ZOGtSRVJCckZrQ2NpSXRJb2hqd1JFWkZHTWVTSmlJZzBpaUZQUkVTa1VReDVJaUlpaldMSUV4RVJhUlJEbm9pSVNLTVk4a1JFUkJyRmtDY2lJdElvaGp3UkVaRkdNZVNKaUlnMGlpRlBSRVNrVVF4NUlpSWlqV0xJRXhFUmFSUkRub2lJU0tNWThrUkVSQm9sMUM2QWlPcUcwV2djQ0dCWTZXTWhSREFBU0NuWGx1a1daemFiZHpWMGJZMk5sRktxWFVOakpvUmd0dDJrVjdzQUlxb3oxdEpnTDZ0c204MW1HOVd3SlJHUm1uaTRua2dqekdiekNTbmwxVnQweWJGYXJRY2FyQ0FpVWgxRG5rZzdyQURDYi9IODRlVGs1T0tHS29hSTFNZVFKOUtXeUtxZWtGTHViTWhDaUVoOURIa2lEY25OelQwT0lLZDh1NVF5LzlxMWEzdFVLSW1JVk1TUUo5S1FsSlNVRzFMS2lQTHRRb2lqcWFtcFJXclVSRVRxWWNnVGFZeVVzc0lsY29xaThMSTVva2FJSVUra01abVptVEVBOHNzMEZWb3NGb1k4VVNQRWtDZlNtUFQwOUFJQVpjKy9IMHRPVHM1VHF4NGlVZzlEbmtpREZFVXBlMTZlRSs2SUdpbUdQSkVHRlJZV0hnRlFKS1VzdGxnc085U3VoNGpVd1pBbjBxRHo1OC9uU2ltamhCQ3hTVWxKMTlTdWg0alV3WHZYRTJtVWxISUhnUFpxMTBGRTZ1RTM5VkNqWnpLWmpnQVlvSFlkVkgxU3lsTm1zN20zMm5WVWhkOUNweTUrQzkxdmVMaWVpQUh2ZElRUXZkU3VnY2daOEhBOTBVMEpDUWxxbDBEVjRPM3RyWFlKUkU2RGUvSkVSRVFheFpBbklpTFNLSVk4RVJHUlJqSGtpWWlJTklvaFQrUms0dVBqSzdUOSt1dXZPSDc4ZUpYTFNDa3hjZUpFZlAzMTF3Q0FuSndjVEpvMHFkNXFKS0s3QTBPZXlNa3NYYnEwUXR2MTY5Y1JFaEtDNzc3N3J0Smx6cHc1Zy9UMGRQemhEMzhBQUZnc0Zuenp6VGNPZlM1ZXZGajN4VG81bzlFNDBHZzA5a01EWEltVWxKUUViMjl2dlB6eXkxVStWMXhjZkVkalNDa1JGUldGbDE1NkNVOCsrU1I2OXV5SndZTUhZKzdjdWJEWmJBQUFSVkZ3OXV4WnJGMjdGbGFyOVk3R0s1V1JrWUdsUzVkaTBLQkI2Tm16Si9yMTY0Y05HemJZbjYrUE1ha0VMNkVqY2pKbDcvUFJvMGNQZE96WUVRQnc3NzMzWXNHQ0JRQ0FuMzc2Q1dmT25MSDMyN3AxSzE1NDRRVVlESVpLMXhrVEU0UEZpeGRqeDQ0ZHVQLysrK3V4ZXFjelRBZ1JiRFFhcndJSUJ4Q1ptNXQ3UENVbDVVWjlEV2cybXhFVkZZWGh3NGZYNlhwdE5oc1dMbHlJOVBSMHpKNDlHMGFqRVhxOUhwY3VYVUowZERRVVJZR0xpd3VHRGgwS0lRUisvZlZYekprejU0N0h0VnF0bURwMUt2cjM3NC93OEhCNGVub2lMUzBONmVucDlqNTFQU2I5aGlGUDVDUzJiZHVHWjU5OUZqcWREbWZPbk1HUFAvNElWMWRYYk5xMENmZmVlNis5MzdWcjEvRE1NOC9ZSHljbkorUEVpUk5Zdm54NXBldjk1cHR2c0hUcFVpeGV2SmdCWHdVaFJHc0FNd0hNOVBEd3lERWFqUkZTeWwyWm1aa3hONy9hdDg0RUJRVmg3ZHExNk51M0wxcTNibDFuNjkyNGNTUFMwdEx3eVNlZndNM056ZDdlclZzM2RPdld6ZjQ0TkRRVUZvc0ZreWRQcnBOeEwxNjhpSjkrK2dtVEprMnl2eDR2THk5NGVYblYyNWowR3g2dUozSVN1Ym01T0h6NE1GeGNYTEI5KzNhMGFkTUc4K2JOdzR3Wk01Q1Nrb0tQUHZvSTU4NmR3OXk1YzdGeTVVb0FKWWRuMzNubkhRQkFreVpOS3F3elBqNGVNMmZPeE96WnMrdDh6MUhEUElRUVUzUTYzWUgyN2R0bm1reW1iWTgvL3ZqSWJ0MjZ1ZGZGeXNlTkd3Y3ZMeStzV3JXcUxsWUhvR1J2K3ZQUFA4ZU1HVE1jQXI0eXYvLzk3K3RzWEFEbzBLRURYRjFkRVJvYWlvS0N5ajhQMWZXWTlCdnV5Uk01Q1Q4L1AyemV2QmtGQlFYSXpzNUcrL2J0c1hQblRtellzQUhMbGkxRFptWW1mdnp4UjJ6WXNBRnZ2LzAyK3ZYcmgrM2J0OS95SE9lQ0JRdXdjT0ZDcHd4NGs4bGtrVklxUWdnckFLdVUwZ3JBVnZheEVNS2FtSmo0Y05ubGpFYmpTU0dFVlVwcEEyQUZZQ2xkcHN4NnJHYXplV0kxeW1nT0lGQ24wd1UyYjk2OHlHZzBSdDM4WXFCYUUwTGd0ZGRlZzcrL1A0NGNPWUtCQXdmZXllb0FBR2xwYWNqTHkwUDM3dDN2ZUYwMTVlSGhnYmZmZmh2TGxpMURiR3dzeG84ZkQzOS9melJyMXF6QmEybU11Q2RQNUNRZWVlUVJ2UGJhYTdqMzNudngwVWNmb1Z1M2JsaTllalhlZU9NTnRHdlhEbUZoWVVoTFM4TkhIMzJFNWN1WFE2ZlQ0ZURCZ3hVTzA2ZWxwZUZ2Zi9zYkFHRERoZzFPR2ZBQUlLVjBFVUlZQURSRHlkNTFheUZFV3dBZEFQeE9DT0VscGV4U2JqRWhoUEFCOElRUTRpa2h4Q0FoeERBQXp3QjREc0FZSVVTQUVHSjhMZXJSM2F6aGpyLzVyMU9uVHBnMWF4WldyVnFGbkp5Y08xMmRmY0tlVHZmYkpuL3IxcTN3OXZhMi83dlRTWDIzNHVmbmg3MTc5MkwwNk5IWXNtVUxSbzhlalFzWEx0VGJlUFFiaGp5Ums5RHBkTWpOelVYVHBrMEJBQmN1WEVCUVVCQWVlT0FCdlBiYWEyamF0Q25lZi85OS9OLy8vUitDZzRPUm1abUpEejc0QUYyN2RnVUFYTDE2RmErLy9qb0NBZ0xzNTBZZmVlUVIxVjdQblRLYnpickV4RVI5VGs2T3E5VnFiU0dFYUZsUVVIQlBjWEZ4ZTV2TmRyK1U4a0dMeGZKd3VjV2sxV3J0b3lpS241VHlLU25sSUFCREZVVVpyaWpLU0NubGFBRCtpcUpVWnk4ZUFBb0IvRnRSbEhjVlJSbWFtSmc0MEd3MnYxOFhyeTh3TUJBZE8zYkVtalZyN25oZDk5MTNIM1E2bmNNVkZCTW1URUJDUWdJKytlU1RPMTUvZGJpN3UyUEdqQm5ZdDI4ZkhuendRU3hldkxoQnhtM3NlTGlleUlsODk5MTMrUGJiYjNIOCtIRkVSVVVoSXlNREowNmN3SWtUSit4OXBKVDQrZWVmOGROUFA4Rm9OTnJiM2R6YzRPSGhnZkR3Y0xpNnVtTC8vdjBPNjA1T1RrWjhmRHltVEpuU1lLK25EdGhTVWxKc0FLbzkyLzNjdVhNVmJ6UlFBMUxLZkNIRVVVVlJkbGtzbGwzSnljbDVkN0srcXVoME9peGZ2aHdCQVFGM1BDSFMzZDBkZm41KytQVFRUMVgvZ2g4UER3OEVCUVZoNXN5WlVCVEY0ZWdDMVQyR1BKRVRPWFhxRktaUG40NTMzbmtINGVIaGVQcnBweEVaR1ZtaDM0QUJBeHdDSGlnSitkSnJzSzljdVZKaG1kVFVWSnc0Y2NMWlFyNmg1QUE0TEtYY21aV1Z0ZmZ5NWN1RkRUSG9ndzgraU9uVHAyUGp4bzBPN1JrWkdXalhybDJOMXJWdzRVSk1tVElGQ3hZc3dOU3BVOUc1YzJjVUZoYmkzTGx6TlZwUFRjZis3cnZ2RUJNVGd5RkRocUJqeDQ2NGZ2MDZkdS9lalY2OWVqSGdHd0JEbnNoSjVPYm00c3N2djBSa1pDU3VYTGxTWWNOZkU2V0gvSC81NVJlMGI5OGVVa3FjT25VS1hicVVQNFhkNk1VcGl2S2N4V0k1bUp5Y1hIOG5yVzloNHNTSk9IcjBLSktUa3dHVW5GK2ZObTBhUm80Y2lhQ2dvR3F2cDMzNzl0aTJiUnMyYjk2TStmUG5JeXNyQzAyYk5vV1hseGRtelpvRnZiNGtEc3J1NmZ2NCtOaC9Ua2hJcU5YWUhoNGVTRWhJd1BidDI1R1hsNGMyYmRyZ2lTZWV3TUtGQysxOWJqVW0zUmx4K3k1RTJtWXltU1J3OTI5UTNubm5IUmdNQnN5ZE94ZFhybHhCVWxJU1ZxeFlnWll0VzFib2UvMzZkUnc5ZXRUKzJOdmJHekV4TVhCMy8rMHFyNVVyVitMZ3dZTUFTdTQ0MXFGREI2eGR1L2F1RC9yU1FFaE1UTHhydDE5U1NsbWY2OC9LeXNMTW1UUGg1K2VIZWZQbTFlZFFkOVhZMVNYSzNqR0tpQm8zazhra1RTYVR2TnQ5KysyM3NxQ2d3S0h0elRmZnJMUnYrZmFkTzNmSzR1TGllcXV0SVpYK3ZkUiszOXhLUS93ZXNyS3k1RmRmZmRVUVE5MVZZMWVIMm4vL3V3ay83VkNqNXl4NzhsU0NlL0owTzl5VC93MW5QUkFSRVdrVVE1NklpRWlqT0x1ZTZDYTFyeDhtSXFwcjNKT25SazlLZVVydEdxakd2bEc3QUNKbndNa0pSQnBWT3FId2JwNmdwbFdjZUtjdVRyejdEZmZraVlpSU5Jb2hUMFJFcEZFTWVTSWlJbzFpeUJNUkVXa1VRNTZJaUVpakdQSkVSRVFheFpBbklpTFNLSVk4RVJHUlJqSGtpWWlJTklvaFQwUkVwRkVNZVNJaUlvMWl5Qk1SRVdrVVE1NklpRWlqR1BKRVJFUWFwVmU3QUNJaXJlRlhuZExkZ252eVJFUkVHc1dRSnlJaTBpaUdQQkVSa1VZeDVJbUlpRFNLSVU5RVJLUlJESGtpSWlLTllzZ1RFUkZwRkVPZWlJaElveGp5UkVSRUdzV1FKeUlpMGlpR1BCRVJrVVl4NUltSWlEU0tJVTlFUktSUkRIa2lJaUtOWXNnVEVSRnBGRU9laUloSW94anlSRVJFR3NXUUp5SWkwaWlHUEJFUmtVWXg1SW1JaURTS0lVOUVSS1JSUXUwQzdwU1VVcXBkUTJNbWhIRDY5NUJXR0kzR2dRQ0dsVDRXUWdRRGdKUnliWmx1Y1dhemVWZEQxMGJjVmpWV2FtOGo5V29PVGtSMXlsb2E3R1dWYmJQWmJLTWF0aVFpVWhNUDF4TnBoTmxzUGlHbHZIcUxMamxXcS9WQWd4VkVSS3BqeUJOcGh4VkErQzJlUDV5Y25GemNVTVVRa2ZvWThrVGFFbG5WRTFMS25RMVpDQkdwanlGUHBDRzV1Ym5IQWVTVWI1ZFM1bCs3ZG0yUENpVVJrWW9ZOGtRYWtwS1Nja05LR1ZHK1hRaHhORFUxdFVpTm1vaElQUXg1SW8yUlVsYTRSRTVSRkY0MlI5UUlNZVNKTkNZek16TUdRSDZacGtLTHhjS1FKMnFFR1BKRUdwT2VubDRBb096NTkyUEp5Y2w1YXRWRFJPcGh5Qk5wa0tJb1pjL0xjOElkVVNQRmtDZlNvTUxDd2lNQWlxU1V4UmFMWllmYTlSQ1JPaGp5UkJwMC92ejVYQ2xsbEJBaU5pa3A2WnJhOVJDUk9uanZlaUtOa2xMdUFOQmU3VHFJU0QxTy93MWkvR1luZGFuOURVdDF3V1F5SFFFd1FPMDZxUHFrbEtmTVpuTnZ0ZXVvQ1c2ckdpZTF0NUU4WEUvRWdIYzZRb2hlYXRkQTVBeDR1SjdvcG9TRUJMVkxvR3J3OXZaV3V3UWlwOEU5ZVNJaUlvMWl5Qk1SRVdrVVE1NklpRWlqR1BLVitQYmJiM0czVG9SVkZFWHRFc2pKVlBWZUxpZ29hT0JLaUtpaE1lUXJNV0hDQkZnc2xub2Y1L0RodzBoT1RyWS9mdi85OS9IdHQ5ODY5QmsyYkpqRDQ2ZWZmcnJLNThyNjhzc3ZVVnhjWE9YejU4K2ZyMm01NUlRS0N3c3hmdno0U3A5Nzl0bG4rYUdSU09NNHU3NmFGRVdCVGxmN3owUzllL2RHcDA2ZGtKcWFpbE9uVGdFQVdyVnFoWlVyVjJMNzl1MUlTa3JDL3YzNzhjSUxMMVM2ZkhCd01BRGcrdlhybGY3ODhzc3ZvMU9uVHZiK1AvNzRJeTVjdUlDWFhuckpZVDNaMmRudzlQVEUrUEhqTlRlYjNHZzBEZ1JnTlp2Tkp3QlkxYTZuUHVUbDVXSHc0TUhWNm52Ly9mZmp0ZGRlUTdkdTNleHRZV0ZoMkxseko0Q1M5OExvMGFNZGxvbU1qS3k3WWpXcUlkNW5TVWxKbUR4NU1ueDlmUkVhR2xycGMzRnhjVEFZRExVZVEwcUpBd2NPWU0rZVBiaHc0UUlLQ3d2UnNtVkwvTC8vOS8vdzk3Ly9IUzR1THZqeHh4K3hmdjE2bkQ1OUdrVkZSZWpldlR1V0xsMktqaDA3MW5yY2pJd01yRisvSG5GeGNjak96a2F6WnMwUUVCQ0FHVE5tQUVDZGp4a2NIQXlMeGVMd2V5d29LRUQvL3YzeDBrc3ZZZXJVcWZiMnp6Ly9ISnMzYjhhaFE0Y2dwY1M1YytkdzVNZ1J6SjA3RjNxOWM4YWxjMWJkQUw3KyttdjA3TmtUQVBESko1OGdOVFVWeTVjdnIvWDYyclp0aXgwN2RqanNmWHQ3ZTJQQ2hBbFFGQVdyVnEzQ3lwVXIwYXBWcTBxWG56WnRHZ0RnM0xsemxmN2NybDA3eE1YRlljV0tGUTdMUlVSRVFGRVV1TGk0SURvNkdrT0hEa1ZjWEZ5dFg4ZGRicGdRSXRob05GNEZFQTRnTWpjMzkzaEtTc29OdFF1cksxSktGQmNYVi9pQWR2TGtTZlR1M1JzdUxpNE83ZHUyYmNQUm8wY1JIeDhQQUlpT2prWkFRQUFLQ3dzUkVCREFVSytkQm51Zm1jMW1SRVZGWWZqdzRYVzZYcHZOaG9VTEZ5STlQUjJ6WjgrRzBXaUVYcS9IcFV1WEVCMGRiZDltSER0MkREMTY5TUNTSlV0Z3RWcXhmUGx5TEZteUJCOS8vSEd0eHJWYXJaZzZkU3I2OSsrUDhQQndlSHA2SWkwdERlbnA2ZlkrZFQxbTM3NTlzVzdkT2xpdFZudFF4OGZIUTFFVXhNZkhPNFQ4bVRObjBMdDNid2doTUdUSUVBZ2g4T3V2djJMT25EbTFHdnR1MEtoRFBpb3FDcXRXcmJJL0ZrTGcrUEhqQUlEdzhIRDA3TmtURVJFUjJMcDFLLzd4ajMvVStmZzlldlJBMjdadHNYNzllZ0RBOHVYTGtadWJpOWpZV0l3YU5RcFdxeFZYcmx6QnFGR2o4TmUvL2hYZTN0N1l2MzgvWEYxZEFjRGhad0R3OGZIQjlPblQ4ZGhqajZGejU4NlFVaUlvS0FoUFBmVVVKaytlWE9mMTM2MkVFSzBCekFRdzA4UERJOGRvTkVaSUtYZGxabWJHM1B3YVZzMlpNMmNPWW1KaTRPN3U3dEQrdi8vOUQwZVBIcTJ3RjVLWGw0ZVdMVnMyWkltYTB4RHZzNkNnSUt4ZHV4WjkrL1pGNjlhdDYyS1ZBSUNOR3pjaUxTME5uM3p5Q2R6YzNPenQzYnAxY3pqeUV4Z1k2SEFFTXpBd0VMTm56Njcxa2MyTEZ5L2lwNTkrd3FSSmsreXZ4OHZMQzE1ZVh2VTJwcSt2TDk1ODgwMGtKU1hCYURRQ0tQbFEvUGpqaitQY3VYTW9MQ3lFbTVzYnBKUklTRWl3SHgwTkRRMkZ4V0p4K20xbm93NzU0Y09IMno4aGYvLzk5L2pMWC81aWYrN2JiNy9GbTIrK2laTW5UMkxUcGszbzNMbnpIWTJWbFpXRmdJQUFYTDE2MWQ3V3ZIbHpSRWRITy9UejgvTURVSExZZE0rZVBmand3dy90ZTFzOWUvWkUxNjVkSzZ3N0l5TURSNDhlQlFEODduZS93N3g1OHpCaXhBZ0FKWHQrZ1lHQmQxUzdrL01RUWt3UlFreHAzNzU5ZnZ2MjdmY29paEpSV0ZoNDVQejU4N2xxRjFlZmlvdUxVVmhZaUpFalJ3SUFIbjMwVWJ6MTFsc1lOV29VaW9xS1VGQlFnRkdqUnRuNzMzdnZ2ZGl3WVlOYTVUcTdlbm1malJzM0RyR3hzVmkxYWhWV3IxNWRKNFZhclZaOC92bm5XTDU4dVVQQVY2WjhxRjY5ZWhXdFdyV3E5YW5MRGgwNndOWFZGYUdob1FnSkNVR3paczNxZmN6MjdkdWpjK2ZPaUkrUHQ0ZDhYRndjWG4zMVZTeFpzZ1NKaVludzlmWEZoUXNYa0pPVGd6NTkrZ0FBZnYvNzN5TXBLYWxXWTk1TkduWElsM1h3NEVHSGM1MUJRVUVJRFEzRjd0MjdjYzg5OTl6eCt0dTJiWXV3c0xCYlRwWXJMeVltQmtWRlJWaTllalZDUWtJZ2hLaHdPTFk4YjI5dmJOMjZGVUZCUWZqaGh4K3dldlZxTkduUzVFN0xyNUxKWkxJQ1VBQllwWlNLRU1JcXBiUUpJV3dBYktVL1Y5VUd3RnIyK1p0dHR2SnRRZ2hySmN1V1gzZmYyNVRiSEVDZ1RxY0xiTjY4ZVpIUmFJeTYrU1V1VHFXNnQ4STJHQXhZdTNZdGhnMGI1dkJoTWpJeUVydDM3MFplWGg0bVRKaFFYMlhXTzVQSlpLM2l2V1RGYis4TnE5bHM3bHh1dVlSeTd5bHI2YklvZVIvYmhCRFd4TVRFNThzdVp6UWFOOTljNSszdW1WOW43ek1oQkY1NzdUWDQrL3ZqeUpFakdEaHdZRzFXNHlBdExRMTVlWG5vM3IxN2paYXpXcTM0N0xQUDhQenp6OSsrY3hVOFBEenc5dHR2WTlteVpZaU5qY1g0OGVQaDcrOWZhZGpYMVpoQXlTSDdVNmRPWWNhTUdiaDA2Ukt1WExtQzNyMTdvMWV2WG9pUGo0ZXZyeTlPbno2TkxsMjYxTW4yL203Q2tFZkpvY3Y5Ky9kajI3WnQ5cmJodzRkajc5NjlpSTZPcnJjTllYNStmcFhuMnRMUzBxRFg2K0hxNmdxOVhvOURodzZoUllzV0RqV1dHakRndDF1dlg3MTZGZSsvL3o0TUJnT0NnNFB4K3V1dkl6bzZHaSsvL0RJZWVPQ0JPcTFmU2drcHBVNEk0UUtnU1duNGxBMmhobXlyWWUyNm00ZGJuZXBiMm13MkcvUjZQYkt6c3gydXRBQXFYbTJ4WU1FQysxNThxYkZqeHdJQWZ2cnBKM1RvMEFINzkrOEhVTExYYnpBWThNRUhINkJ0MjdiMStBcnFUcG4zM3EzZUQrVXZIeEFBVExkNi93Z2hJS1dzc0p3UTRzWEsrbGVqeGp0Nm4zWHExQW16WnMzQ3FsV3I3UE9FN2tUcFZUZGw5NHkzYnQyS2RldlcyUjlYTnFudnJiZmVnazZudzVRcFUrNW9mRDgvUCt6ZHV4ZWZmZlladG16WmdvaUlDS3hidHc0UFAveHdoYjUxTldiZnZuMFJGaGFHZ29JQ25EeDVFa2FqRWE2dXJ1alRwdzhpSWlJQWxKeVA5L0h4dWFOeDdrWU1lUUFiTm16QVUwODk1YkJ4YzNGeHdjcVZLekZ4NGtSNGVYblpENlBYVmxXSDY0dUxpKzBUNGc0ZE9tUWY1K09QUDhaenp6Mkg1T1Jrekp3NUUwMmFOTUhpeFlzUkVCQUFvT1FRZmJ0MjdSekdPSGp3SU41NTV4MzQrUGhneTVZdE1CZ00rT01mLzRqdzhIRE1temNQNGVIaGQvUWF5aE5Dd0d3MjZ3QUliMjl2L1pVclYxdzhQRHhjQ2dvS1hOemMzRnh1M0xqaFlqQVlYSm8wYWVKaXNWaGM5SHE5aThWaTBldjFlcDFPcDlOYnJWWVhGeGNYRjUxTzUyS3oyVngwT3AyTFRxZHpVUlRGQllEKzVnWlNyeWlLaXhEQ1JVcnBJb1N3LzVOU092UURNRm9JY2F0ZG5VSUF4eFJGK1Q4cDVmNnZ2Lzc2Q3dBd21VeWh0MWptcnBLZm53ODNOemQ0ZW5vaU5qYlczdTd0N1kzbzZHam9kRHBJS2RHaVJRc0FKUjlXZi8zMVYvdUh5ZTNidDhOZ01HRGF0R25Zc21XTGZmbkJnd2RqejU0OURmdGk3dEROOTU3dWtVY2UwV2RuWjdzMGI5NWNiekFZOUFhRHdhV29xRWl2MSt0ZGREcGQrVzJjVkJURnFOUHBYS3hXcTE2bjArbHZ2cDlLMzJkNklZUmVTbG4rMkxBRU1PVm1uM0ZDaUVHM0tLMFF3REVBZTZ4VzY0NmtwS1JyTjl0ci9UNExEQXpFa1NOSHNHYk5Hb3daTTZhMnF3RUEzSGZmZmREcGRMaDQ4YUw5ZXdBbVRKaUFDUk1tMkdmdWwvZnV1Ky9DYkRaajgrYk5kelNqdjVTN3V6dG16SmlCOGVQSFk5R2lSVmk4ZUxFOWJPdGpUS1BSQ0lQQmdJU0VCSnc4ZWRJZTVqNCtQbGkxYWhVeU16T1JtSmdJZjMvL094cm5idFRvUXo0K1BoNy8vZTkvN1pjVmxlWGw1WVVWSzFaZzBhSkZlUFBOTi9Ia2swL1dhZ3dwSmRxMWExZmhjUDMrL2ZzeGF0UW9oMFB3UjQ4ZVJWRlJFUzVmdmd4ZlgxOEFzSjgzR3pObURFSkNRcENYbDRjcFU2WWdMQ3dNQU96bjZ2ejgvT0RyNjR1bm4zN2Evai9GOU9uVEVSY1hoNktpb3ZvOGJDOFRFaElzQU9yLzVnSzNZRFFhdXdKd0NIa3BaYjRRNHFpaUtMc3NGc3V1NU9Ua1BKWEtxeE9abVptMzNOUCt6My8rZzdDd01MejMzbnU0Nzc3N0VCVVZoV0hEaGlFcUtzcmVaK2ZPbmNqS3luSTRIMy85K25XTUdqVUsyN1p0cS9MUTZWMUtTVTVPcnZxR0VKVTRlL2JzMmRvTWxKaVkrREVBR0kzRzN3TndDUG42ZnAvcGREb3NYNzRjQVFFQnVQLysrKzlvWGU3dTd2RHo4OE9ubjM1YXJTLzdXYjkrUFdKalk3Rng0OFk2bmZ3SGxCeStEd29Ld3N5Wk14MG0xdFgxbUFhREFUMTc5a1JzYkN3U0V4UHh5aXV2QUNpNXpMUmp4NDdZc21VTHJGWXJUQ2JUSFk5MXQyblVJZi9ERHo5ZzhlTEZXTHAwS1R3OVBTdnQwNzkvZjRTRWhDQWtKQVN6WjgvR2hBa1RLdDJMdnBYOC9QeEtONXhuenB5cE1LSFBZREJnMXF4WmVPKzk5eHphU3crempoMDdGai8vL0RNS0NncncvUFBQMno4Z2JOKytIZVBIajBkeGNYR2xZVjUyRm40amtBUGdzSlJ5WjFaVzF0N0xseThYcWwxUVhmbm1tMjhxblh4WmF0U29VU2dvS0VCd2NEQzJiZHZtOEFIeXhJa1RlUHp4eDdGejUwN01tVE1IOTl4ekQzcjFLdm5HMXNHREIvTnl1cHByMFBmWmd3OCtpT25UcDJQanhvME83VFhkSGdIQXdvVUxNV1hLRkN4WXNBQlRwMDVGNTg2ZFVWaFlpSFBuempuMCsvREREM0hzMkRGczJyU3AwckN0NmRqZmZmY2RZbUppTUdUSUVIVHMyQkhYcjEvSDd0MjcwYXRYTDN2QTEvV1lwWHg5ZmZIQkJ4L0EwOVBUNGY4aEh4OGY3TnUzejc2M3J6V05PdVNUa3BJd2NlSkVQUFhVVS9ZOTNkVFVWRFJwMHNUaGtxTm5uMzBXYmRxMFFkT21UVkZjWEl4cDA2Wmg1TWlSQ0FvS3F0WTRLU2twRmQ2VStmbjVXTDkrdmNQZHlHdzJHd29LQ3BDYW1scGgxdXVPSFRzZ3BVUjBkRFJDUTBPeGVQRml4TVRFWVA3OCtRN3Ivdjc3NzNIZmZmZFZXWXVHcjVFSGdEaEZVWjZ6V0N3SGE3cDM1d3lrbE5pM2J4OWVmUEhGVy9aNzRZVVhNRzd2LzlNQUFDQUFTVVJCVkdiTUdIdkFLNHFDMWF0WEl6NCtIbzg4OGdoR2pCZ0JiMjl2VEowNkZSOS8vREhhdEduVEVPVnJpV3J2czRrVEorTG8wYVAyTzJYV1puc0VsTXc0MzdadEd6WnYzb3o1OCtjakt5c0xUWnMyaFplWEYyYk5tbVhmL3BWK29DaC9BNmJTN1VoTngvYnc4RUJDUWdLMmI5K092THc4dEduVEJrODg4UVFXTGx4bzcxUFhZNWJxMjdjdjNucnJMVHp6ekRNTzdUNCtQb2lJaUtod1ByN3NVWTZ5ejJudEptSjNQVmxIUHZ6d1Eya3ltV1NQSGoza3VuWHJidGszTXpOVFB2Lzg4L0xkZDkrdDFycGZmLzExR1JvYUtqTXpNK1hBZ1FQbEw3LzhJaWRNbUNESGpoMHJpNHVMcFpSU0xseTRVQTRhTkVnT0hqeFlmdkRCQi9abGh3NGRLbi8rK1dmNS92dnZ5OUdqUjh1UWtCQjUrZkpsS2FXVUtTa3BNaWdvU002Yk4wK2VPblZLU2lubG9rV0w1S1pObSt6TDkrblR4NkdXYTlldXlSOSsrS0ZDZTIycC9mZXZDeWFUU1pwTXBqcjVmZFNuNk9ob09YejRjRmxjWEN5ZmZQTEoyLzc3ODUvL0xMT3pzMldQSGoza3NtWEw1Tm16WitXTEw3NG9iVGFibEZMS0w3NzRRaFlVRk1qTGx5L0xaNTk5VnVWWFYzMmxmeSsxM3pjMVZWKy9qNXB1ajV4OWJEVmZiMjJvL2I1emVuWDFoN0JhclRJL1AxOWFyZFpxOWMvS3lwSmZmZlZWdGZyKzYxLy9raWtwS1RJZ0lFQ3VYTGxTcHFhbXlxQ2dJSm1lbm43YlpTTWlJbVJlWHA3Y3YzKy92SExsU29YbkZVV1JDUWtKOHVyVnEvTGN1WE55L1BqeHNxaW95UDU4K1RDZk9IR2k3TkdqaDF5eFlrVzFhcjhkdGYvK2RjRlpRajRuSjBlZVBYdTJ4c3NkT25USS9uTitmcjc5NTQ4Ly9sZ09HalJJRGgwNlZINysrZWQxVW1ORFlNaFhWSlB0a1JiR1Z2UDExcFRhNzd1YVgzdDBsN2tiZm9sM2t4czNicUJwMDZZTk5wNm96ZlZyZDVuU3dPQmhPT2RRZWhnMU1USFJxZDU3M0ZZMVRtcHZJL2t0ZEJyVGtBRlBSRVIzTjRZOEVSR1JSalhxMmZWRVpWWG5tbUVpSW1mQ1BYbHE5S1NVcDlTdWdXcnNHN1VMSUhJR1RqVnhwVEtjektJdXRTZVZVTlZLSnhRNjJ3UTFyZUsycW5GU2V4dkpQWGtpSWlLTllzZ1RFUkZwRkVPZWlJaElveGp5UkVSRUdzV1FKeUlpMGlpR1BCRVJrVVl4NUltSWlEU0tJVTlFUktSUkRIa2lJaUtOWXNnVEVSRnBGRU9laUloSW94anlSRVJFR3NXUUp5SWkwaWlHUEJFUmtVYnAxUzdnVHFuOU5YNUVSTlhCYlJXcGdYdnlSRVJFR3NXUUp5SWkwaWlHUEJFUmtVWXg1SW1JaURTS0lVOUVSS1JSREhraUlpS05Zc2dURVJGcEZFT2VpSWhJb3hqeVJFUkVHc1dRSnlJaTBpaUdQQkVSa1VZeDVJbUlpRFNLSVU5RVJLUlJESGtpSWlLTllzZ1RFUkZwRkVPZWlJaElveGp5UkVSRUdzV1FKeUlpMGlpR1BCRVJrVVl4NUltSWlEU0tJVTlFUktSUkRIa2lJaUtOWXNnVEVSRnBGRU9laUloSW94anlSRVJFR3NXUUp5SWkwaWlHUEJFUmtVWXg1SW1JaURTS0lVOUVSS1JSREhraUlpS05Zc2dURVJGcEZFT2VpSWhJb3hqeVJFUkVHc1dRSnlJaTBpaUdQQkVSa1VZeDVJbUlpRFNLSVU5RVJLUlJRdTBDaUtodUdJM0dnUUNHbFQ0V1FnUURnSlJ5YlpsdWNXYXplVmREMTBZbHBKVFBBUWdCWUFUUVZPVnl0SzRZUUJLQXZ3c2h0cXRkakZyMGFoZEFSSFhHV2hyc1paVnRzOWxzb3hxMkpDcDFNK0FqMWE2akVURUE4QWJ3bVpTeXVSQmlrOW9GcVlHSDY0azB3bXcybjVCU1hyMUZseHlyMVhxZ3dRcWk4a0xVTHFBUm02dDJBV3BoeUJOcGh4VkErQzJlUDV5Y25GemNVTVZRQlVhMUMyakVIbGE3QUxVdzVJbTBwY3JEd1ZMS25RMVpDRlhBYy9EcWFhSjJBV3BoeUJOcFNHNXU3bkVBT2VYYnBaVDUxNjVkMjZOQ1NVU2tJb1k4a1lha3BLVGNrRkpHbEc4WFFoeE5UVTB0VXFNbUlsSVBRNTVJWTZTVUZTNlJVeFNGbDgwUk5VSU1lU0tOeWN6TWpBR1FYNmFwMEdLeE1PU0pHaUdHUEpIR3BLZW5Gd0FvZS83OVdISnljcDVhOVJDUmVoanlSQnFrS0VyWjgvS2NjRWZVU0RIa2lUU29zTER3Q0lBaUtXV3h4V0xab1hZOVJLUU9oanlSQnAwL2Z6NVhTaGtsaEloTlNrcTZwblk5UktRTzNydWVTS09rbERzQXRGZTdEaUpTRDcrRmpobzlrOGwwQk1BQXRldWc2cE5TbmpLYnpiM1ZycU1tcEpSUzdSb2FNeUZFbzh3N0hxNG5Zc0E3SFNGRUw3VnJJSElHUEZ4UGRGTkNRb0xhSlZBMWVIdDdxMTBDa2RQZ25qd1JFWkZHTWVTSmlJZzBpaUZQUkVTa1VReDVJbzJ5Mld4cWwwQkVLbVBJRTlXekw3Lzg4bzdYY2ZIaVJWaXQxaG90MDZ0WEwyUmtaRlM3ZjNGeE1hNWV2WXFMRnkvaXpKa3pPSFRvRU1MRHc3Rm5UK1YzeGEycUhRQk9uejVkbzFxSnFINXdkajFSUFZ1NGNDSGk0dUlBQUQ0K1ByajMzbnNyN1hmLy9mZmpndzgrcVBTNTA2ZFA0OGNmZjBULy92M3JySzd0MjdjalBEd2NCUVVGc05sc2FOcTBLVEl6TStIdDdRMFBEdzk0ZW5xaVpjdVd1UC8rK3l0ZGZzMmFOUmc1Y3FSRFczRnhNUXdHQTJiTm1xWFpvRGNhalFNQldNMW04d2tBTmZ2a1ZRTkpTVW1ZUEhreWZIMTlFUm9hV3VsemNYRnhNQmdNdFZwL1JrWUcxcTlmajdpNE9HUm5aNk5aczJZSUNBakFqQmt6QUFCLy8vdmZjZkRnUWVUazVPQ2hoeDdDb2tXTDhPaWpqOVpxck9EZ1lGZ3NGb2ZYVVZCUWdQNzkrK09sbDE3QzFLbFQ3ZTJmZi80NU5tL2VqRU9IRGlFdExRM3IxNi9INmRPblVWUlVoTzdkdTJQcDBxWG8yTEZqcmVwb2pCanlSQTFzNzk2OXQzeCsrUERoVlc2NDMzLy9mWWZIczJiTndxQkJnM0Rnd0FHOC92cnJGZnFYRDJFQTlnOGNJMGVPeFBEaHc5R2lSUXZvZERyWWJEYjA2dFVMR3pkdXJIVHN6ei8vSEo5KytxbjljVkZSRVlZTkcyWi9IQjBkalFFREJpQTJOdmFXcjA4RGhna2hnbzFHNDFVQTRRQWljM056ajZla3BOeW9qOEhNWmpPaW9xSXdmUGp3T2x1bjFXckYxS2xUMGI5L2Y0U0hoOFBUMHhOcGFXbElUMCszOTNuc3NjZncwa3N2UVFpQmRldldZY0dDQmZqM3YvK04ydHhUcG0vZnZsaTNiaDJzVml2MCtwTFlpWStQaDZJb2lJK1Bkd2o1TTJmT29IZnYzaEJDNE5peFkralJvd2VXTEZrQ3E5V0s1Y3VYWThtU0pmajQ0NC92L0pmUVNERGtpZXBKZUhnNHRtN2RpdUxpWWd3ZlBoeExsaXdCQUx6MTFsdjQ2cXV2S3ZRdkcvNGhJU0gyc1AzdXUrL3cwRU1QNGRGSEg4WFpzMmZ0andGZzBLQkJBSUNubjM0YVR6Lzl0TVA2dkwyOXNXZlBIclJyMTY3UytwbzFhMVpsN2NYRnhiaDI3UnF5czdOeC9mcDFQUHJvby9EMzk0ZS92Nys5ajUrZkg2S2pvNnZ6cTlBa0lVUnJBRE1CelBUdzhNZ3hHbzBSVXNwZG1abVpNVGUvN3JkT0JBVUZZZTNhdGVqYnR5OWF0MjVkSit1OGVQRWlmdnJwSjB5YU5NbStUaTh2TDNoNWVkbjdsTDYzQUdEWXNHR0lpb3FDbExKV0llL3I2NHMzMzN3VFNVbEpNQnFOQUlDVEowL2k4Y2NmeDdsejUxQllXQWczTnpkSUtaR1FrSURnNEdBQVFHQmdJSFM2Mzg0cUJ3WUdZdmJzMlZBVXhhR2Rxc2FRSjZvbjQ4YU53N2h4NCtEajQ0T29xQ2g3KzEvKzhwZmJMdHU3ZDI5MDY5WU44K2JOUTZ0V3JUQnYzanc4OXRoaldMWnNHZExUMDlHL2YzOU1uano1anVyNzZxdXZjT3pZTVh1UVg3OStIVURKQnIxcDA2Ync5UFMwSDdKLzhNRUg0ZWJtQmo4L1A3UnMyUkpBeVo1ODZkN2w5ZXZYRzhNZS9LMTRDQ0dtQ0NHbXRHL2ZQcjk5Ky9aN0ZFV0pLQ3dzUEhMKy9QbmNPMW54dUhIakVCc2JpMVdyVm1IMTZ0VjFVbXlIRGgzZzZ1cUswTkJRaElTRVZQbUJUMHFKakl3TWhJV0ZZY3lZTWJVTzF2YnQyNk56NTg2SWo0KzNoM3hjWEJ4ZWZmVlZMRm15QkltSmlmRDE5Y1dGQ3hlUWs1T0RQbjM2QUVDRjhhNWV2WXBXclZveDRHdUFJVS9VQUtTVUtDNHVybmIvbjMvK0dhKysraXBtelpxRnQ5OStHNUdSa1lpTGkwUFhybDN4di8vOUR3ODk5QkNDZzRNeGYvNzhXcCtmdk9lZWU5Q25UeCswYk5rU25wNmVhTkdpQllZTUdYTGJ2ZlBTRHl4K2ZuNE9QemMwazhsa2xWTGFoQkEyS2FVTmdQWG16MVlBcGUxV3M5bmN1ZHh5Q1RlWHN3SW83VzhWUXRnQWxLN1RtcGlZK0h6WjVZeEc0K2FiNjd6ZFBmT2JBd2pVNlhTQnpaczNMeklhalZFM3Z5eW9Wb1FRZU8yMTErRHY3NDhqUjQ1ZzRNQ0J0VjJWblllSEI5NSsrMjBzVzdZTXNiR3hHRDkrUFB6OS9SM0NQajQrSHJObXpRSUFQUEhFRTNqNTVaZnZhTXkrZmZ2aTFLbFRtREZqQmk1ZHVvUXJWNjZnZCsvZTZOV3JGK0xqNCtIcjY0dlRwMCtqUzVjdXVPZWVleW9zYjdWYThkbG5uK0g1NTUrdlpPMVVGWVk4VVQzNjRZY2ZZTFZhOGR4enorSFZWMStGeFdMQmlCRWprSjZlanRhdFc2TzR1QmdlSGg0QUFJUEJnSjA3ZHdJQVVsSlNNR1hLRlBqNitzTFYxUldMRnkvR2hnMGJNRzNhTkVSSFI4UFgxeGM1T1RuSXk4dkR6cDA3OGQ1NzcxVTYvcWhSb3lvOXZCb2JHNHV1WGJ1aWE5ZXU5cmJLTHJrckxDekUxYXRYVVZSVWhDNWR1dGpiczdPekFaUWMxcmRhcmFyc1dVa3BkVUlJRndBT3I3SGM2MVhLTFNZQW1HN1JIMElJU0NrckxDZUVlTEd5L3RXb3NUWHU4TnNBTzNYcWhGbXpabUhWcWxYbzJiUG5uYXpLenMvUEQzdjM3c1ZubjMyR0xWdTJJQ0lpQXV2V3JjUEREejhNb09SbzB1blRwNUdhbW9ybHk1ZmpiMy83Rzk1NDQ0MWFqOWUzYjErRWhZV2hvS0FBSjArZWhORm9oS3VySy9yMDZZT0lpQWdBSmVmamZYeDhLbDMrcmJmZWdrNm53NVFwVTJwZFEyUEVrQ2VxSnhzMmJNRGV2WHVoMCtudzNudnZ3ZFBURS9mY2N3OGlJeU14ZE9oUWJOaXdBWnMzYjhZYmI3eUIvZnYzTzh5Ni8vcnJyM0g4K0hGOCtPR0hLQ29xZ3IrL1AvUjZ2ZjJRK05peFl3RUFTNWN1eFpneFl6Qm16Qmo3c3BjdVhjTEVpUk94ZmZ0MmRPdldyZEx6bDhYRnhmam1tMjl3OWVwVlhMMTZGVmV1WE1HVksxY0FBSk1uVDhhMWE5ZGdzVmpnNnVxSzFxMWI0dzkvK0FPQ2c0UHQ1Mi9YclZzSEFOaXlaUXYrKzkvL0lpQWdvUDUra1ZVd204MDZBTHBISG5sRW41MmQ3ZEs4ZVhPOXdXRFFHd3dHbDZLaUlyMWVyM2ZSNlhUbHQzRlNVUlNqVHFkenNWcXRlcDFPcHhkQ3VBZ2g5SXFpdUFnaDlFSUl2WlN5L0tjV0NXREt6VDdqaEJDRFVMVkNBTWNBN0xGYXJUdVNrcEt1M1d3UHZjVXl0eFVZR0lnalI0NWd6Wm8xRG4vdk8rSHU3bzRaTTJaZy9QanhXTFJvRVJZdlhtd1BYS0RrY0hubnpwMHhmZnAweko4L0h5dFhycXoxQnpxajBRaUR3WUNFaEFTY1BIblNIdVkrUGo1WXRXb1ZNak16a1ppWTZERHZvOVM3Nzc0THM5bU16WnMzMS9wcWdzYUtJVTlVVDhhT0hZdHAwNmJCMTljWG5UcDF3dm56NXgwbVRubDVlZUhpeFl2WXNHRUQ5dXpaZ3lWTGxxRDAyMGpuekptRE9YUG1JREl5RXZ2MjdjUDc3NzhQZDNmMzI0NnBLQXBXckZpQkYxOThFZDI2ZFFOUU1vblB6OC9QWWFaOVhsNGU5dXpaZzlhdFc2TjE2OWI0M2U5K2g4Y2Vld3k3ZCsvR21qVnIwS3BWSzdpNHVOajdYN2h3QVlxaVlOKytmZmppaXk5dzdkbzEyR3cyWkdWbDRWLy8raGRhdEdoUlY3KzJtbEtTazVPcmZ4NEV3Tm16WjgvV1pxREV4TVNQQWNCb05QNGVnRVBJU3luemhSQkhGVVhaWmJGWWRpVW5KK2ZWWm94YjBlbDBXTDU4T1FJQ0FxcThyTEcyUER3OEVCUVVoSmt6WjFZNXFVMnYxOS9SRVJ1RHdZQ2VQWHNpTmpZV2lZbUplT1dWVndDVVhEcmFzV05IYk5teUJWYXJGU2FUeVdHNTlldlhJelkyRmhzM2JxeXppWWVOQ1VPZXFKNlUzeUNWbmtzdmE5Q2dRVGh4NGdSMjd0d0pkM2QzcEtXbG9WMjdkc2pJeU1DYU5Xdnd4UmRmNElFSEhzQzBhZE1jbHN2T3pzYkJnd2NyakxseDQwYTR1YmxoNHNTSjlyYXBVNmRpNnRTcDZOU3BrMzNTVSt2V3JiRml4UXFIWlVzUDExZDJQblR4NHNWWXZYbzFGRVhCdW5YcjhORkhIMkhreUpIbzBLRUQ1c3laZzMvODR4OXdjM09yd1c5SEUzSUFISlpTN3N6S3l0cDcrZkxsd3ZvZThNRUhIOFQwNmRNclhPYVlrWkZSNVZVVWxmbnV1KzhRRXhPRElVT0dvR1BIanJoKy9UcDI3OTZOWHIxNlFhZlQ0ZnZ2djhlRkN4ZlF2MzkvWEx0MkRaczNiOGJnd1lOclBWNHBYMTlmZlBEQkIvRDA5SFE0VmVUajQ0TjkrL2JaOS9aTGZmamhoemgyN0JnMmJkckVnSzhsVGxFa2FpQkhqeDUxT0o4cXBjUVRUenlCSzFldUlDVWxCVURKdVhJUER3L01uajBiQXdZTVFLdFdyUkFaR1ltd3NEQ0hmMFZGUlJYV2YvandZZXpmdng5dnZQR0dmWStydUxnWUhUdDJ4S1JKa3hBU0VvS3NyS3dxNnhOQ1FLZlRvYURBOGVxdjFOUlVYTGx5QlVJSXpKMDdGMHVYTHJWL0VKZzhlVElHRFJwa3YyS2drY3l3ajFNVTVia2JOMjYwVFV4TWZONXNObi9lRUFGZmF1TEVpUTRCV1Z4Y2pHblRwdFhvMm5FUER3OGtKQ1JnMHFSSjZOT25Ed0lEQTlHOGVYTzg5ZFpiQUFBM056ZHMyYklGVHo3NUpBSUNBdEMxYTFjc1hMaXcxdU9WNnR1M3I4UHMrVkkrUGo3SXo4K3ZjRDUrNDhhTitQNzc3ekY0OEdCNGUzdmIvOVZrRW10alYvTUxIb2sweG1ReVNhRHV2MCsrZEZMYW4vNzBKM3o2NmFkNDZhV1hjUERnUVdSbVp1S0ZGMTVBMTY1ZDRldnJDNlBSaUZkZWVRVXZ2dmdpOXV6Wmc5V3JWNk5MbHk3UTZYVG8xYXVYdzRTM1Vpa3BLUTUzbER0Ly9qd0NBd05oTUJoZ01CZ2dwWVRCWUlDYm14dWFOMitPcGsyYm9xQ2dBQzFhdE1ER2pSdnROeVFwNzI5Lyt4dGlZbUljbmxjVUJUTm56a1RUcGswaGhMQmZOdWZuNTJjUDlZc1hMNkp6NTg0b0xDeEVUazRPbm52dU9mdE5kK3BhNmZmSkp5WW1PdFgyUzVhZWk2a0hXVmxabURsekp2ejgvREJ2M3J6NkdrYTE4ZXFDcU0wRi9rVGsvRXdta3pTWlRMS3VoWWFHeXQ2OWU4c2xTNWJJQXdjT3lHM2J0a2twcFF3TEM1UCsvdjd5N05tejlyNEpDUWx5eFlvVk1pa3B5V0VkSVNFaGxhNTc0Y0tGRmRyT25qMHJNekl5NUkwYk55cGRwckN3VUw3NTVwdnkrdlhydFgxSkRueDlmU3UwRFJnd1FQYm8wVU91WExteVRzYW9UT25mUyszM1RVM1YyeS9rcHF5c0xQblZWMS9WOXpDcWpYZW4xUDc3cTRXZmJLalJxNjg5K1Z1UnRieHpHSEZQbm1xbnNlN0o4NXc4a1FvYTZmYUdpQm9ZUTU2SWlFaWplQWtkMFUybGg0R0ppTFNDZS9MVTZFa3BUNmxkQTlYWU4yb1hRT1FNZUdLUVNLTktKeFE2MndRMXJlTEVPM1Z4NGgwUkVSRnBDa09laUloSW94anlSRVJFR3NXUUp5SWkwaWlHUEJFUmtVWXg1SW1JaURTS0lVOUVSS1JSREhraUlpS05Zc2dURVJGcEZFT2VpSWhJb3hqeVJFUU5vMWp0QWhveHE5b0ZxSVVoVDBUVU1KTFVMcUFSdTZoMkFXcGh5Qk1STll5L3ExMUFJL2FoMmdXb2hTRlBSTlFBaEJEYkFVd0RrQXpBb25JNWpZRVZ3SGtBODRVUTc2cGRqRnIwYWhkQVJOUllDQ0UyQWRpa2RoM1VlSEJQbm9pSVNLTVk4a1JFUkJyRmtDY2lJdElvaGp3UkVaRkdNZVNKaUlnMGlpRlBSRVNrVVF4NUlpSWlqV0xJRXhFUmFSUkRub2lJU0tNWThrUkVSQnJGa0NjaUl0SW9oandSRVpGR01lU0ppSWcwaWlGUFJFU2tVUXg1SWlJaWpXTElFeEVSYVJSRG5vaUlTS01ZOGtSRVJCckZrQ2NpSXRJb2hqd1JFWkZHTWVTSmlJZzBpaUZQUkVTa1VReDVJaUlpaldMSUV4RVJhUlJEbm9pSVNLTVk4a1JFUkJyRmtDY2lJdElvaGp3UkVaRkdNZVNKaUlnMGlpRlBSRVNrVVF4NUlpSWlqV0xJRXhFUmFSUkRub2lJU0tNWThrUkVSQnJGa0NjaUl0SW9oandSRVpGR01lU0ppSWcwU3FoZEFCSFZEYVBST0JEQXNOTEhRb2hnQUpCU3JpM1RMYzVzTnU5cTZOb0lrRkpLdFd0b3pJUVFqVEx2OUdvWFFFUjF4bG9hN0dXVmJiUFpiS01hdGlRaVVoTVAxeE5waE5sc1BpR2x2SHFMTGpsV3EvVkFneFZFUktwanlCTnBoeFZBK0MyZVA1eWNuRnpjVU1VUWtmb1k4a1RhRWxuVkUxTEtuUTFaQ0JHcGp5RlBwQ0c1dWJuSEFlU1ViNWRTNWwrN2RtMlBDaVVSa1lvWThrUWFrcEtTY2tOS0dWRytYUWh4TkRVMXRVaU5tb2hJUFF4NUlvMlJVbGE0UkU1UkZGNDJSOVFJTWVTSk5DWXpNek1HUUg2WnBrS0x4Y0tRSjJxRUdQSkVHcE9lbmw0QW9PejU5MlBKeWNsNWF0VkRST3BoeUJOcGtLSW9aYy9MYzhJZFVTUEZrQ2ZTb01MQ3dpTUFpcVNVeFJhTFpZZmE5UkNST2hqeVJCcDAvdno1WENsbGxCQWlOaWtwNlpyYTlSQ1JPbmp2ZWlLTmtsTHVBTkJlN1RxSVNEMk44bHQ1aU1veW1VeEhBQXhRdXc2cVBpbmxLYlBaM0Z2dE9tcUMzMEtucnNiNkxYUThYRS9FZ0hjNlFvaGVhdGRBNUF4NHVKN29wb1NFQkxWTG9Hcnc5dlpXdXdRaXA4RTllU0lpSW8xaXlCTVJFV2tVUTU2SWlFaWpHUEpFalZobVpxYmFKUkJSUFdMSUU5V3pBUU5xUG5sLzNMaHhsYmFmUDM4ZVU2Wk1RWGg0T0FvTEN4MmVDd3dNckhTWndZTUhWOW91cGNTd1ljTnFYQnNST1EvT3JpZHFRSXFpd05mWHQwSjdYRnljdytPY25KeEtsOWZyOWJEWmJORHBkTmk4ZVRQbXpKbURsMTkrR1d2WHJrVmhZU0crLy81N3JGNjlHdG5aMmZabHNyT3pFUkFRWUg4Y0hCeU1IajE2UUVvSm5hNW1uL09yTzdQOTRZY2ZSbGhZV0kzVzdTeU1SdU5BQUZhejJYd0NnRlh0ZXFxU2xKU0V5Wk1udzlmWEY2R2hvWlUrRnhjWEI0UEJVS3YxWjJSa1lQMzY5WWlMaTBOMmRqYWFOV3VHZ0lBQXpKZ3hvMExmYWRPbUlTRWhBY2VQSDBlelpzMXFOUjdWRGtPZXFBRkpLVkZjWEd5L1hNOW1zNkZYcitwZjhxM1g2MkcxV3ZIODg4L2owcVZMQUlDMmJkdmkxS2xUQUlEang0L2prVWNld1p3NWMrekxEQjQ4dUVMZ3JseTVFZ2NQSG9TaUtQRHg4YkczUjBWRjRVOS8raE5hdEdoaGI4dkx5N1BYV3pwT3FaOS8vaGtqUm95bzBLN3grNDRNRTBJRUc0M0dxd0RDQVVUbTV1WWVUMGxKdWFGMllaVXhtODJJaW9yQzhPSEQ2MnlkVnFzVlU2ZE9SZi8rL1JFZUhnNVBUMCtrcGFVaFBUMjlRdC8vL09jL1NFMU5yYk94cVdZWThrVDFaUFhxMVRoeDRnU3lzN014WXNRSUFFQmtaT1F0bHdrT0RzYjU4K2Z4NjYrL1lzU0lFV2pWcXBYRFhyMmlLUGo1NTU4eGV2Um8rL3A4Zkh4dyt2UnBBTUNYWDM2SkZTdFc0Si8vL0NlKy9QSkxBQlgzNU1QQ3dyQjA2VklzV3JRSS9mcjF3OG1USndFQWd3WU5nb3VMQ3dEZzJMRmo5djVsOTk1TG55OVZlaVNnZkh0aklJUm9EV0FtZ0prZUhoNDVScU14UWtxNUt6TXpNK2JtMS8zZUZZS0NnckIyN1ZyMDdkc1hyVnUzcnBOMVhyeDRFVC85OUJNbVRacGtYNmVYbHhlOHZMd2MraFVXRnVLOTk5N0Q1TW1Uc1hidDJqb1ptMnFHNStTSjZrbElTSWg5dzdaMzcxN3MzYnYzdHN1c1hic1dJU0VoYU5hc0dWNSsrV1Y4OHNrbk1CZ01pSXlNaE1GZ3dQYnQyOUc2ZFd0RVJrYmF6OXMvK2VTVDlqMzNkZXZXb1dQSGpwZzVjeWJDd3NJUUZoWUdUMDlQKzg5bDkrZ3RGZ3YwK3Q4KzU5dHN0a1laMW5YRVF3Z3hSYWZUSFdqZnZuMm15V1RhOXZqamo0L3MxcTJidTlxRmpSczNEbDVlWGxpMWFsV2RyYk5EaHc1d2RYVkZhR2dvQ2dxcS9qeXplZk5tOU96WkU0OCsrbWlkalUwMXd6MTVvbnAwK1BCaEFDVjd6OE9IRDYvVytjZ2pSNDdBWUREZzRNR0RHRGh3b0gyQ1hXRmhJWm8xYTRhaW9pSVVGQlRnekprekdEZHVIRjU0NFFWWUxCYjgvUFBQZVBIRkZ6Rmx5aFI4K3Vtbjl2WGRjODg5RG52eTNidDN4NkpGaTFCVVZBUlhWMWQ3dTlWcWRRajl1NTNKWkxKS0tXMUNDSnVVMGdiQWV2Tm5LNERTZHF2WmJPNWNicm1FbTh0WkFaVDJ0d29oYkFCSzEybE5URXg4dnV4eVJxTng4ODExM3U2ZStjMEJCT3AwdXNEbXpac1hHWTNHcUp0ZkZxUUtJUVJlZSswMStQdjc0OGlSSXhnNGNPQWRyOVBEd3dOdnYvMDJsaTFiaHRqWVdJd2ZQeDcrL3Y0TzcrOGZmL3dSZS9ic3dZNGRPeW85akU4TmczdnlSUFhFWXJIZzFLbFQ4UER3Z00xbXc4U0pFM0g5K3ZWYjdpMWZ2WG9Wdi83NksvUjZmYVVUbUFEQXpjME5DUWtKOXNQb08zYnN3Smd4WTNEZmZmZGg2OWF0R0RwMEtOemQzV0d6MlNyOGMzZDN4NkpGaXdBQTE2NWRROHVXTGUzcmRiYVFsMUxxaEJBR0FHNUNpQlpDaUpZQTJnZ2gyZ2toN2dQd093Q2R5aTBtQUppRUVEMEIrQUR3RTBJOEpZUVlCR0FJZ0tlRkVNOUtLVWVXWDA0SThTS0FhVUtJN2pXc3NiVVFRdFZ2QSt6VXFSTm16WnFGVmF0V1ZUbXBzNmI4L1B5d2QrOWVqQjQ5R2x1MmJNSG8wYU54NGNJRisvTnIxcXhCVUZBUTJyUnBVeWZqVWUwNHovL1JSRTVtMTY1ZDZOV3JGMUpUVS9IQ0N5L2d5U2VmaEJEQ1lWSmJlUjk5OUJIKy9PYy9ZLzM2OVhqb29ZY3dZc1FJL1BMTEwvYi8vdld2ZjBXN2R1MFFHUmxwRCtzYk4yN2d3SUVEeU0zTnhiUnAweEFhR29wTGx5N2gwS0ZERmRaZjluSzZ0TFEwZE96WTBmN1lhcldpU1pNbWRmZ2JxRjltczFrSFFQZklJNC9vczdPelhabzNiNjQzR0F4Nmc4SGdVbFJVcE5mcjlTNDZuYTc4Tms0cWltTFU2WFF1VnF0VnI5UHA5RUlJRnlHRVhsRVVGeUdFWGdpaGwxS1czd0dTQUtiYzdEUHU1b2VDcWhRQ09BWmdqOVZxM1pHVWxIVHRabnZvTFphcGQ0R0JnVGh5NUFqV3JGbURNV1BHMU1rNjNkM2RNV1BHREl3ZlB4NkxGaTNDNHNXTEVSRVJnV1BIamlFOVBSMysvdjUxTWc3VkhrT2VxSjVjdW5RSnMyYk53bzRkSlVkcUgzamdBWnc2ZFFvUFBQQkFwZjJQSFR1R2I3LzlGdlBuejhmNjllc0JBSjkrK2lsZWVlVVZmUHp4eHhneFlnVGVlT01OckZ5NUVsbFpXV2pYcmgwQVlQMzY5Umc4ZUREMjdkdUgrZlBuNDkxMzN3VUFoMFAwbGZuNjY2L3hoei84QVFCUVhGenNWSHZ4WlNqSnljbkZOVm5nN05teloyc3pVR0ppNHNjQVlEUWFmdy9BSWVTbGxQbENpS09Lb3V5eVdDeTdrcE9UODJvelJuM1M2WFJZdm53NUFnSUNjUC85OTlmcHVqMDhQQkFVRklTWk0yZENVUlRzMjdjUHYvenlpLzNVZ0tJb0FJQmh3NFpoMWFwVkRsZDBVUDF5eXYrcmlaeEJTRWhJaFVQemh3OGZydkphOC8vKzk3OFlOMjZjd3pMbno1OUg1ODYvblZLMldxMUlTMHZEa0NGRHNIdjNiblRwMGdXSERoMUNaR1FrOXUzYmgrN2R1Nk43OSs1VjNnQ25sSlFTUjQ4ZXhSdHZ2QUVBS0NvcWNxcTkrTHRFRG9ERFVzcWRXVmxaZXk5ZnZseDQyeVZVOXVDREQyTDY5T25ZdUhHalEzdEdSb2I5UTJOMWZQZmRkNGlKaWNHUUlVUFFzV05IWEw5K0hidDM3MGF2WHIyZzAra3F6S1F2dlM0L09qcWExOGszTUlZOFVUMHBIL0RmZi84OURodzRnTzNidDl2YmhCQVFRaUF2THc4WEwxN0V4SWtUSFpiWnRXc1h4bzRkQzZCa2IyakJnZ1Y0NktHSGNPN2NPWGg2ZXFKNzkrNTQrKzIzSzkxd1ZuWXptdEx3UDNMa0NKbzJiWW8vL3ZHUEFJRFRwMDg3bkR1OTNZZUVSaTVPVVpUbkxCYkx3Wm9lUmJnYlRKdzRFVWVQSGtWeWNqS0FrcU00MDZaTnc4aVJJeEVVRkZTdGRYaDRlQ0FoSVFIYnQyOUhYbDRlMnJScGd5ZWVlQUlMRnk2c3o5S3BGaGp5UkEwZ056Y1hjK2ZPeGVqUm85R3AwMjl6d1hRNkhmcjI3WXVubm5vS2p6NzZLQjU2NkNIN2MxOS8vVFdhTjIrT0hqMTYyUHRPbURBQjN0N2VXTEJnQWM2ZE80ZlpzMmVqYWRPbXR4eTdvS0FBcnE2dStQNzc3KzEzTi92blAvK0p1WFBuNHNNUFA4VEdqUnZScEVrVHZQcnFxL1pseXA3UEx6M3ljS3U3M1ZYMjNNYU5Helg1M2U5bTMrSmY1Z0FBSGkxSlJFRlVzM21YMmpWVXg2T1BQbXEvaVZGWk9wME9XN1pzY1dqYnZIa3paczZjaWV6c2JNeWJOKysyNjI3WHJoMDJiTmh3eDdVUUVkVTdrOGtrVFNhVHJDLy8vdmUvcFpSU3hzVEVTSnZOVnExbG9xT2pwYzFtcTdML2xTdFg1QmRmZk9IUXRuWHJWdnZQZ3dZTnN2ODhmZnAwT1hUb1VQbk1NOC9ZKzF5K2ZObit2TTFtazRxaTJCOWJyVmFIOVpaL3JMYlN2NWZhNzV1YVV2djNkanRaV1ZueXE2KytVcnVNZXFQMjMxOHRtcjczSkZGMWxBWUc5elNjUStuUmdjVEVSS2ZhZmpYbW9Ma2JDSTNmYTdrcXZFNmVpSWhJb3hqeVJFUkVHc1dKZDBRM2FYR1NHQkUxYnR5VHAwWlBTbm5xOXIzb0x2T04yZ1VRT1lOR09SR0JxREVvblZEb2JCUFV0SW9UNzlURmlYZEVSRVNrS1F4NUlpSWlqV0xJRXhFUmFSUkRub2lJU0tNWThrUkVSQnJGa0NjaUl0SW9oandSRVpGR01lU0ppSWcwaWlGUFJFU2tVUXg1SWlJaWpXTElFeEVSYVJSRG5vaUlTS01ZOGtSRVJCckZrQ2NpSXRJb3Zkb0ZFQkUxQm8zMXEwNUpYZHlUSnlJaTBpaUdQQkVSa1VZeDVJbUlpRFNLSVU5RVJLUlJESGtpSWlLTllzZ1RFUkZwRkVPZWlJaElveGp5UkVSRUdzV1FKeUlpMGlpR1BCRVJrVVl4NVA5L2UvY2VIVlYxaDMzOE9aTWhSaTVpdFJJcUttcTF2SUlCRXhRV1NnRzVMUkdRaW9wSWhRcXZVY0Z3RXhhNnFLdUNMSlZxUVdrVmk2S3RJb0tvZ1dyU3VLS2hRYlRRYUlnUzBpNDBFQ0NSa3FRUWNvR0VUR2IyK3dkazNrd1NNRUNTRTNhK243L203TFBQT2IvaGtpZDd6ejV6QUFDd0ZDRVBBSUNsQ0hrQUFDeEZ5QU1BWUNsQ0hnQUFTeEh5QUFCWWlwQUhBTUJTaER3QUFKWWk1QUVBc0JRaER3Q0FwUWg1QUFBc1JjZ0RBR0FwUWg0QUFFc1I4Z0FBV0lxUUJ3REFVb1E4QUFDV0l1UUJBTEFVSVE4QWdLVUllUUFBTEVYSUF3QmdLVUllQUFCTEVmSUFBRmlLa0FjQXdGS0VQQUFBbGlMa0FRQ3dGQ0VQQUlDbENIa0FBQ3psdUYwQWdNWVJIUjA5Uk5LSTZtM0hjZVpJa2pGbVNZMXVXekl5TWo1czd0b2dHV09NMnpXMFpvN2p0TXE4ODdwZEFJQkdVMVVkN0RYVmJQUDcvV09idHlRQWJtSzZIckJFUmtiR2w4YVlRNmZvVWxKVlZaWFliQVVCY0IwaEQ5aWpTdEo3cDlqL1dWWldWbVZ6RlFQQWZZUThZSmY0ayswd3hyemZuSVVBY0I4aEQxaWt0TFIwczZTUzJ1M0dtQ05GUlVVYlhDZ0pnSXNJZWNBaTJkblp4NHd4SDlSdWR4eG40NTQ5ZXlyY3FBbUFld2g1d0RMR21EcTN5QVVDQVc2YkExb2hRaDZ3VEVGQlFhcWtJeldheW4wK0h5RVB0RUtFUEdDWi9mdjNINVZVOC9QM1RWbFpXV1Z1MVFQQVBZUThZS0ZBSUZEemMza1czQUd0RkNFUFdLaTh2RHhGVW9VeHB0TG44NjF6dXg0QTdpRGtBUXZ0M0xtejFCaVQ0RGpPRjVtWm1VVnUxd1BBSFh4M1BXQXBZOHc2U1ozZHJnT0FlMXJsVTNtQW1tSmlZbElrRFhhN0RqU2NNU1l0SXlPanI5dDFuQTZlUXVldTF2b1VPcWJyQVFMK25PTTRUaCszYXdET0JVelhBeWVrcDZlN1hRSWFvSGZ2M202WEFKd3pHTWtEQUdBcFFoNEFBRXNSOGdBQVdJcVFCMW9JWTR4U1UxUGRMZ09BUlFoNW9JVUlCQUthTTJkT3MxNHpPVG01M3ZhY25CeXRXL2Yvdnlqdjg4OC9WM0Z4Y1hPVkJhQ1JzTG9lY01HeVpjdjB5U2VmMUx0dnhJZ1JkZHFTa3BJMGNPREFPdTArbjA4K24wOXQyN2F0cysvVlYxOVY5KzdkNjdUbjUrY0hYei8vL1BQcTFhdFhjUHVTU3k2UngrTlJaR1NrUHZqZ0F6bU9vN3Z2dmx0Lys5dmYxTDkvZjBsU256NTlkT1dWVjBxUzl1elpvN1MwdEZPL1djdEVSMGNQa1ZTVmtaSHhwYVFxdCtzNW1jek1URDN3d0FPNjVaWmI5TWMvL3JIZWZWdTJiRkY0ZVBnWlg4TVlvOFRFUkczWXNFSGZmZmVkeXN2TGRlR0ZGNnA3OSs1YXVuU3B3c0xDdEhUcFV2Mzk3MzlYU1VtSnJyMzJXajN4eEJPS2lvbzYyN2VIQmlMa0FSZk1uRGxUTTJmT0RHbnorLzNxMDZlUGtwS1M2ajFtMDZaTmRkcm16NSt2YTYrOVZwTW5UejdwdFc2NjZTWkZSa1lxUHo5ZlgzMzFsUllzV0JEY1YxWldGckw5OU5OUEt5d3NUSTg4OG9qS3lzcjAvdnZ2YTgyYU5UcDA2SkRHangrdjU1OS9YaDA3ZGd5TzhvY05HM1lhNzlvYUl4ekhtUk1kSFgxSTBudVM0a3RMU3pkbloyY2ZjN3V3K21Sa1pDZ2hJVUdqUm8xcTFQUDYvWDQ5L3ZqajJyOS92eDU5OUZGRlIwZkw2L1VxSnlkSFNVbEpDZ1FDQ2dzTFU4K2VQZlhnZ3cvS2NSeTk5TkpMbWp0M3JqNzU1Qk8xMHUrbWFYYUVQSEFPR1R0MmJNajJ2bjM3dEdQSERuMzg4Y2NoN1Y2dk54akVIVHAwVUVKQ2dnWVBQdjZkUDYrKytxcEdqQmlocEtRa1RaZ3dJV1M3MnZqeDR6VjI3RmdaWTNUbm5YY3FOVFZWNzc3N3JycDA2YUxpNG1MZGQ5OTlrdFNxcC9BZHg3bEkwbFJKVXkrNDRJS1M2T2pvRDR3eEh4WVVGS1NlZU54dml6QjU4bVF0V2JKRU45OThzeTY2NktKR08rOXJyNzJtM054Yy9mV3ZmOVg1NTU4ZmJPL1dyWnU2ZGVzVzNCNDZkR2p3OVlnUkk1U1FrQ0JqRENIZlRBaDV3Q1VuRzFuVmJoOHpab3hpWTJNbFNibTV1ZnJxcTY4a0hSOUZmLzMxMThGK3c0WU4wNmVmZmlycCtPaTlQcW1wcVZxK2ZMa09IanlvY2VQR1NaTEdqUnNYc3YzNjY2OXI3ZHExR2p0MnJNckt5dFNtVFJ0SjBvWU5HelIwNkZCZGNjVVZXck5tVGZDYWtDUmQ0RGpPRk1keHBuVHUzUGxJNTg2ZE53UUNnUS9LeTh0VGR1N2NXZXBtWWZmZWU2KysrT0lMTFY2OFdNOC8vM3lqbkxPcXFrcHIxNjdWZ2dVTFFnTCtaSXd4eXMvUDE1bzFhM1RQUGZmSTQyRTVXSE1oNUFHWEpDUWtoR3hYVDlmWGJtOU1nd1lOMHFCQmczVEhIWGVFTEt5cnZTMGREMytmejZmOC9QemdMd0NabVpuS3o4OXZFU1A1bUppWUttT00zM0VjdnpIR0w2bnF4T3NxU2RYdFZSa1pHVmZYT2k3OXhIRlZrcXI3VnptTzQ1ZFVmYzZxYmR1MjNWWHp1T2pvNkpVbnp2bGozNW5mVHRLdlBSN1ByOXUxYTFjUkhSMmRjT0poUWE1d0hFZFBQZldVeG84ZnI1U1VGQTBaTXVTc3o1bWJtNnV5c3JLUTlSd244NjkvL1V2VHBrMlRKUDN5bDcvVWpCa3p6dnI2YURoQ0huQkI3ZEc2Mys5WFFVRkJ2ZnNrYWRhc1dTSFRudEx4Z0swTzM5TXhhZElrZWIzZWtLbC9yOWVyU1pNbTZlMjMzNVlrclZ1M1R1WGw1WHJvb1lmMHdBTVBhTXlZTVhyenpUZTFZc1VLL2ZhM3Y5VnR0OTBtWTR5ckkzbGpqTWR4bkRCSklWTy90YWFCQTdVT2N5VEZuS0svSE1lUk1hYk9jWTdqL04vNitqZWd4b3ZrOHRNQXUzYnRxbW5UcG1ueDRzVW5uZVU1SFpXVmxaSVVNaUpmdFdxVlhucnBwZUIyOWFLK3ZuMzc2cXV2dnRLZVBYdTBZTUVDTFZ5NFVNODg4OHhaMTRDR0llUUJGOVFjclFjQ0FUMzU1SlBLejg5WFJFU0Vacytlcld1dXVVWit2MS94OGZHNitlYWIxYVZMbHpybnFMa0FUbXI0MVBuZXZYdURpL2h5YzNOMStlV1hTMUxJNnYzMDlIVDkvdmUvVjQ4ZVBUUm16QmhKVW5aMnRxNi8vbnJkZHR0dGV2SEZGN1YrL1hyZGNNTU5wLy9tRzBsR1JvWkhrcWRIang3ZTR1TGlzSGJ0Mm5uRHc4Tzk0ZUhoWVJVVkZWNnYxeHZtOFhocS80d3pnVUFnMnVQeGhGVlZWWGs5SG8vWGNad3d4M0c4Z1VBZ3pIRWNyK000WG1OTTdmbGtJMm5LaVQ3M09vNHpWQ2RYTG1tVHBBMVZWVlhyTWpNemkwNjAvL0VVeHpTNVgvLzYxMHBKU2RFZi92QUgzWFBQUFdkMXJrc3Z2VlFlajBlN2R1MEtQa3RnNHNTSm1qaHhZbkRsZmswZWowZFhYMzIxSG43NFlUMzIyR05hdEdnUlUvYk5oSkFIWEZSV1ZxWW5uM3hTMTE5L3ZSWXRXcVNjbkJ3bEp5Y3JPenRiSzFldTFNVVhYNnhmL09JWDlZYjhtWTdrcTVXVWxHanExS24xZmp4UVhsNnVjZVBHNmU2Nzd3NjJGUlFVYU9YS2xaS2syYk5uYS9iczJXZDg3VVlVeU1yS3FqeWRBNzc1NXB0dnp1UkMyN1p0KzRza1JVZEgveDlKSVNGdmpEbmlPTTdHUUNEd29jL24rekFySzZ2c1RLN1JsRHdlanhZc1dLRDc3cnRQbDExMjJWbWRxME9IRHVyZnY3L2VldXV0MDM1Z2tOZnJKZUNiRVNFUHVDUWxKVVZ2dnZtbWR1M2FGWnptdk9hYWE3UnAweWF0V0xGQ2l4Y3ZEbG1sWEZ0RFIvS2xwYVVhTldxVUlpSWlRdHEvL2ZaYmRlclVxZDVqK3ZmdnI3Rmp4K3JkZDk4TnR1WG01dFpaM2YrNzMvM08xZEc4eTBva2ZXYU1lYit3c1BCdmVYbDU1VzRYOUdPdXZQSktQZnp3dzNydHRkZEMydlB6OHhVWkdYbGE1M3I4OGNjMVpjb1V6WjA3VjdHeHNicjY2cXRWWGw2dTdkdTNCL3ZzM3IxYjMzMzNuVzY5OVZZVkZSVnA1Y3FWTE5ac1pvUTgwTXo4ZnI5aVkyUFZwazBiTFYyNk5EZ2FyNmlvVUhKeXN1NjU1eDZWbHBacTJiSmx1di8rKzlXM2IxK0ZoWVdkOGZXR0R4OGU4aG5vQ3krOG9KeWNIQzFkdWxUZHVuVUxmdWErZE9uU2tPUGk0K05EdGdjT0hGaW5yWlhhRWdnRTd2VDVmSDgvM1ZtRWxtRFNwRW5hdUhHanNyS3lKQjMvZlAyaGh4N1NyMzcxcTFOKzMwSnRuVHQzMWp2dnZLT1ZLMWZxc2NjZVUyRmhvYzQ3N3p4ZGRkVlZtalp0bXJ4ZXI4NC8vM3k5L2ZiYmV1cXBwOVMyYlZzTkhUcFVqejMyV0ZPOU5kU0RHeFhSNnNYRXhCaXBlWjhudjIvZlBsMXh4Uldxckt6VXdJRUROV1RJRUgzNTVaZnEyYk9ubm5ubUdiVnYzMTVmZlBHRlhubmxGZVhsNWVtMTExN1RkZGRkcDk2OWU2dHIxNjZTcEtLaUl2M2tKejhKbnJQbWRzMWI3YXJ0M3IxYkd6ZHVWRnBhbW5KemN6VjkrblRkZnZ2dE9uVG9rTjU4ODAxdDNMaFJFeVpNVVB2MjdVTkc4TlZ5Y25KMDFWVlgxZnQrYXEvTWIwclYwOFBidG0wN3AzNStHV09NMnpXY1RHRmhvYVpPbmFyKy9mdHIxcXhaYnBmVEpCeHV6QWRhcDVpWUdCTVRFMlBjY09USUVSTWJHMnZXckZsakRoOCtYRytmM056YzRPdXZ2LzY2UWVmOTVwdHY2clQ5OE1NUFp0bXlaZWFmLy95bjhmbDhkZmJuNU9TWTVPVGtCbGJ1bnVxL0w3Zi8zWnd1dC8vY2ZreGhZYUhadW5XcjIyVTBHYmYvL3QzQ2J6Wm85ZHdZeWVQTU1aTEhtV2l0STNtV09BSUFZQ2xDSGdBQVM3RzZIampoZE8vM0JZQ1dqcEU4V2oxalRPdDZJTG9kZHJoZEFIQXVhSlVMRVlEV29IcEI0Ym0yUU0xV0xMeHpGd3Z2QUFDQVZRaDVBQUFzUmNnREFHQXBRaDRBQUVzUjhnQUFXSXFRQndEQVVvUThBQUNXSXVRQkFMQVVJUThBZ0tVSWVRQUFMRVhJQXdCZ0tVSWVBQUJMRWZJQUFGaUtrQWNBd0ZKZXR3c0FnTmFndFQ3cUZPNWlKQThBZ0tVSWVRQUFMRVhJQXdCZ0tVSWVBQUJMRWZJQUFGaUtrQWNBd0ZLRVBBQUFsaUxrQVFDd0ZDRVBBSUNsQ0hrQUFDeEZ5QU1BWUNsQ0hnQUFTeEh5QUFCWWlwQUhBTUJTaER3QUFKWWk1QUVBc0JRaER3Q0FwUWg1QUFBc1JjZ0RBR0FwUWg0QUFFc1I4Z0FBV0lxUUJ3REFVb1E4QUFDV0l1UUJBTEFVSVE4QWdLVUllUUFBTEVYSUF3QmdLVUllQUFCTEVmSUFBRmlLa0FjQXdGS0VQQUFBbGlMa0FRQ3dGQ0VQQUlDbENIa0FBQ3hGeUFNQVlDbENIZ0FBU3hIeUFBQll5bkc3QUFDTkl6bzZlb2lrRWRYYmp1UE1rU1JqekpJYTNiWmtaR1I4Mk55MUFYQ0gxKzBDQURTYXF1cGdyNmxtbTkvdkg5dThKUUZ3RTlQMWdDVXlNaksrTk1ZY09rV1hrcXFxcXNSbUt3aUE2d2g1d0I1Vmt0NDd4ZjdQc3JLeUtwdXJHQUR1SStRQnU4U2ZiSWN4NXYzbUxBU0Erd2g1d0NLbHBhV2JKWlhVYmpmR0hDa3FLdHJnUWtrQVhFVElBeGJKenM0K1pvejVvSGE3NHpnYjkrelpVK0ZHVFFEY1E4Z0RsakhHMUxsRkxoQUljTnNjMEFvUjhvQmxDZ29LVWlVZHFkRlU3dlA1Q0htZ0ZTTGtBY3ZzMzcvL3FLU2FuNzl2eXNyS0tuT3JIZ0R1SWVRQkN3VUNnWnFmeTdQZ0RtaWxDSG5BUXVYbDVTbVNLb3d4bFQ2ZmI1M2I5UUJ3QnlFUFdHam56cDJseHBnRXgzRyt5TXpNTEhLN0hnRHU0THZyQVVzWlk5Wko2dXgySFFEY3cxUG8wT3JGeE1Ta1NCcnNkaDFvT0dOTVdrWkdSbCszNndCYU9xYnJBUUwrbk9NNFRoKzNhd0RPQlV6WEF5ZWtwNmU3WFFJYW9IZnYzbTZYQUp3ekdNa0RBR0FwUWg0QUFFc1I4Z0FBV0lxUUIxb1l2OSt2Z3djUFNwSjhQcC9MMVFBNGx4SHlRQXVUbTV1clNaTW1xYkt5VWhNblR0U0dEV2YvcmJRclY2N1V2bjM3R3R5L3ZMdzgrUHFSUng3UjBhTkhRL1pQbmp6NXJHc0MwUFJZWFErME1CRVJFUW9FQWdvUEQ5Znk1Y3UxWk1rU0RSMDZWTzNidDVkMGZIVjVwMDZkVG5wOFFVRkJ5SjBDdTNmdlZueDh2TzYvLy81Z1crL2V2WFhSUlJlRkhGZFdWcVl0VzdaSWt1Yk1tYU9vcUNoTm5UcFZlWGw1OHZ2OUlYMi8vLzc3czM2ZkFKb2VJUSs0SkJBSTZOWmJiNjNUYm96UjBhTkhOWERnd0dEYnlKRWo5ZDU3NzZsejUrTmZZSmVRa0tDd3NMQTZ4L3I5ZnZYcEUzb0wrZXV2djY2NHVEZ2RQWHBVQ3hjdVZGeGNuTUxEdy9YcHA1K0c5T3ZYcjEvdzliUFBQcXNaTTJab3dJQUJrcVRFeEVTOTg4NDd3ZjBWRlJVYU5XcFVjRHNoSWVGMDNqcUFaa0xJQXk0eHhxaXNyS3pPL2ZubDVlVWFNbVNJTm0zYWROYlhTRTlQMThHREIzWDc3YmRyMGFKRjJyVnJseUlqSTMvMHVBc3V1RUN4c2JGYXNXS0ZDZ3NMTlhMa1NJMGZQejY0djMvLy9nUTdjQTRnNUlFV0ppSWlRajZmVDRGQVFCNlBSNm1wcWJydXV1dEN3cm5tS1BwVTFxNWRxN3k4UEUyWU1FSFoyZGw2NDQwMzVQVjZWVlZWcFprelo5Wjd6TjY5ZXpWdDJqUjE2dFJKOCtiTjArN2R1K3RjcytaSWZzeVlNWXFOalQzVHR3dWdDUkh5Z010cVRzdEwwcWVmZnFxT0hUdXFxS2hJN2R1MzE4S0ZDL1huUC84NUpPUWJPbDIvY09GQ2ViMWV6Wmd4US9mZGQ1K2lvcUlrU1dGaFlab3hZMGJJc2RXZjJWOSsrZVdhTld1V2hnNGRLc2M1L25nTFk0eHV1ZVVXeGNYRnFVT0hEbzN6eGdFME9VSWVjSW5mNzlkNTU1MFhuSllQQkFMcTI3ZXZ3c1BERlJrWnFRTUhEdWcvLy9tUHJydnVPblhyMWkxNDNKWXRXK29OZU9sNGVGY3ZucE9rdG0zYktqazVXU1VsSllxTGl3dTJPNDZqbi8vODUvV2V3K1B4YU5pd1ljSHQ2bW41L1B4OEpTWW1oa3piQTJqWkNIbkFKVWVPSEFrWkZWZFVWT2o4ODgrWEpIWHQybFdabVpsNjQ0MDM5TkpMTHdYNzFGNVpmL2p3WVczWnNrWDkrdlhUaFJkZUdHeXZYbUcvYjk4K1BmZmNjL3JOYjM2ajk5NTdUOFlZVFp3NDhaUjFmZnp4eDFxK2ZIbEkyN0ZqeDFSY1hLenQyN2ZycmJmZXFuTk1VbExTNmIxNUFNMkNrQWRjVWxoWXFFc3V1U1M0WFZKU0VnejluajE3Nms5LytwTkdqQmloSGoxNnlPZnpxVTJiTmdvUER3OEoxSm9yNHV0clAzRGdnTHAzNzY3OC9IeDE2ZEpGM2J0M2x5UlZWbGFlOUhQOTBhTkhhL1RvMGNIdHZYdjNhdDY4ZWVyVnE1ZjhmcitXTFZzbXgzRzBZOGNPYmQyNlZROCsrR0FqL0drQWFBcUVQT0NTWGJ0MjZlcXJyMVpsWmFYQ3c4TzFmZnQyL2V4blA1TjBmUEZkWldXbHBrK2ZMa2w2N3Jubk5IejQ4Tk8rUnA4K2ZZS2YwUjg2ZENpNGlDNDhQTHpPNnZpYXZ6QklVbWxwcVZhdlhxM1ZxMWRyMGFKRkdqQmdnT0xpNGpSLy9uejUvZjdnZ2o0QUxSY2hEN2drTFMxTnZYcjEwcE5QUHFuTm16Y3JJaUpDaXhZdDB0NjllL1hLSzYrb1I0OGUrdnp6enpWNjlHZ2RPSEJBSFR0MmxIUjhGTjVRU1VsSjJyQmhnd29LQ25USkpaY29LaXBLTjk1NDR5bVB5Y25KMFpvMWEvVFpaNTlweUpBaDhuZzhHalJva0tUalg1S3paTWtTN2R5NVUwOC8vYlJ1dnZubU0zNy9BSm9lSVErNG9LU2tSS21wcVpvK2ZicnV1dXN1VlZWVnlldjE2ci8vL2E5aVkyTTFjK1pNOWVqUlE5T25UMWZYcmwyMWE5Y3VYWFhWVmZMNWZDZGQrRFp1M0xqZzYrcnZ2Ty9aczZlaW9xSjAyV1dYU1pLR0RSdW1qejc2U0pXVmxTR0w2NlRqdnp6TW1ERkRjK2ZPMWNVWFg2eTFhOWVxWThlT1NreE0xSXN2dnFqTm16ZnIwa3N2MWNzdnY2ejE2OWRyOGVMRjh2djlHang0c09iT25kdEVmMUlBQUp5Rm1KZ1lFeE1UWTVwVFJrYUdlZWFaWitxMGYvUE5OMmJWcWxYQjdkVFVWSFBiYmJlWnA1OSsyaGhqekoxMzNoblN2M3I3Wk8xbjY4Q0JBMmJpeElsbTFhcFY1b2NmZmdqWkZ3Z0VUR1ptcHZuMjIyOGI1Vm9OVmYzMzVmYS9HK0JjNExoZEFPQzI2c0NvL2MxelRjM3Y5NS8wVmppY1hPL2V2U1ZKMjdadDQrY1g4Q040Q2gzZ0VnSWVRRk1qNUFFQXNCUUw3NEFUcXFlQkFjQVdqT1RSNmhsajB0eXVBYWR0aDlzRkFBRGdHbGFoQTJBa0R3Q0FwUWg1QUFBc1JjZ0RBR0FwUWg0QUFFc1I4Z0FBV0lxUUJ3REFVb1E4QUFDV0l1UUJBTEFVSVE4QWdLVUllUUFBTEVYSUF3QmdLVUllQUFCTEVmSUFBRmlLa0FjQXdGS0VQQUFBbGlMa0FRQ3dGQ0VQQUlDbENIa0FBQ3hGeUFNQVlDbENIZ0FBU3hIeUFBQllpcEFIQU1CU2hEd0FBSllpNUFFQXNCUWhEd0NBcFFoNUFBQXNSY2dEQUdBcFFoNEFBRXNSOGdBQVdJcVFCd0RBVW9ROEFBQ1dJdVFCQUxBVUlROEFnS1VJZVFBQUxFWElBd0JnS1VJZUFBQkxFZklBQUZpS2tBY0F3RktFUEFBQWxpTGtBUUN3RkNFUEFJQ2xDSGtBQUN4RnlBTUFZQ2xDSGdBQVN4SHlBQUJZaXBBSEFNQlNoRHdBQUpZaTVBRUFzQlFoRHdDQXBRaDVBQUFzUmNnREFHQXBRaDRBQUVzNWJoY0FvSEZFUjBjUGtUU2lldHR4bkRtU1pJeFpVcVBibG95TWpBK2J1ellBN3ZDNlhRQ0FSbE5WSGV3MTFXenorLzFqbTdja0FHNWl1aDZ3UkVaR3hwZkdtRU9uNkZKU1ZWV1YyR3dGQVhBZElRL1lvMHJTZTZmWS8xbFdWbFpsY3hVRHdIMkVQR0NYK0pQdE1NYTgzNXlGQUhBZklROVlwTFMwZExPa2t0cnR4cGdqUlVWRkcxd29DWUNMQ0huQUl0bloyY2VNTVIvVWJuY2NaK09lUFhzcTNLZ0pnSHNJZWNBeXhwZzZ0OGdGQWdGdW13TmFJVUllc0V4QlFVR3FwQ00xbXNwOVBoOGhEN1JDaER4Z21mMzc5eCtWVlBQejkwMVpXVmxsYnRVRHdEMkVQR0NoUUNCUTgzTjVGdHdCclJRaEQxaW92THc4UlZLRk1hYlM1L090YzdzZUFPNGc1QUVMN2R5NXM5UVlrK0E0emhlWm1abEZidGNEd0IxOGR6MWdLV1BNT2ttZDNhNERnSHQ0Q2gxYXZaaVltQlJKZzkydUF3MW5qRW5MeU1qbzYzWWRRRXZIZEQxQXdKOXpITWZwNDNZTndMbUE2WHJnaFBUMGRMZExRQVAwN3QzYjdSS0Fjd1lqZVFBQUxFWElBd0JnS1VJZUFBQkxFZklBQUZpS2tBZWF3VWNmZmFTOHZMd0c5UzB2THcrK2Z1U1JSM1QwNk5HUS9aTW5UMjdVMnFxVmxwWnEzcng1VFhKdUFPNWdkVDNReFBiczJhUG5ubnRPNjlldmIxRC9PWFBtS0NvcVNsT25UbFZlWHA3OGZuL0kvdSsvLzc1UjZxcXNyRlI0ZUhqSWRrcEt5aW43U0ExZjNYN1hYWGRwL3Z6NVoxOG9nRE5HeUFOTmJPblNwV3JUcG8wbVRKaFE3LzdpNG1KdDNicFZiZHEwa1NROSsreXptakZqaGdZTUdDQkpTa3hNMUR2dnZCUHNYMUZSb1ZHalJnVzNFeElTenFpdWZ2MzZLU1VsUlJkZWVPRnA5MW03ZHEyNmRPbHl5dk43dmZ4NEFkekcvMEtnQ1NVa0pDZy9QMS9KeWNtS2lJaW90OCtOTjk2b3NMQ3c0UFlGRjF5ZzJOaFlyVml4UW9XRmhSbzVjcVRHang4ZjNOKy9mLzh6RHZiR0VoRVJvYlp0MjdwYUE0QWZSOGdEVGVUZi8vNjNsaTFiSmttNjk5NTdRL2FGaFlVcFBqNWVnVUJBanVQSTR6bStQR2J2M3IyYU5tMmFPblhxcEhuejVtbjM3dDJTRkRKeXJ6bVNIek5takdKalk1dmo3UUE0QnhIeVFCTjUrZVdYTlcvZVBEM3h4QlA2NUpOUFFrYnJOOTEwa3lTcHFxb3FPRTB2U1pkZmZybG16WnFsb1VPSHluR09QMXJDR0tOYmJybEZjWEZ4NnRDaFE2UFdPR0xFaURwdC9mcjFPMmwvWTR3a0JYOHBBZEN5RWZKQUUzbmhoUmZVcmwwN1BmSEVFeWZ0VTFGUm9mUE9PeSs0N2ZGNE5HellzT0IyOWJSOGZuNitFaE1UUTZidHoxYnRyL0U5ZVBDZ2hnOGZyaTFidGdUYmFpK3k4L2w4a2hSU000Q1dpNUFIbWtpN2R1MkNyOGVPSFJ1eTc2Yy8vYWtrNmNpUkl5SDlQdjc0WXkxZnZqeWs3N0ZqeDFSY1hLenQyN2ZycmJmZXFuT2RwS1NrTTZxdnZwWHp0YVducDZ1eXNqSzRmZmp3WVVuSDF3MEFhUGtJZWFBWnhNZkhoMHpYSHp0MlRKS1VscGFteU1oSUhUaHdRQjZQUjZOSGo5Ym8wYU9EL2ZidTNhdDU4K2FwVjY5ZTh2djlXclpzbVJ6SDBZNGRPN1IxNjFZOStPQ0RaMXhUUTFiWEh6NThXRU9HREFtTyt2ZnQyNmRPblRyOTZDOEhBRm9HUWg1d3dlelpzNVdXbHFZT0hUcG8wYUpGU2s1T1ZsNWVYdkMrOHRMU1VxMWV2VnFyVjYvV29rV0xOR0RBQU1YRnhXbisvUG55Ky8zS3k4c0x1U1V2UHo5ZmtaR1JUVjczNXMyYmRjTU5OelQ1ZFFBMERsYlBBRTBzSWlJaXVFcSsydkxseTVXV2xxWi8vT01mdXVHR0c3UnAweWIxNk5GRE9UazVldmJaWnpWbXpCZ2RQSGhRSG85SGd3WU5rc2ZqMFp3NWMxUmNYS3owOUhROSt1aWpHamx5cEtUajArNFBQZlNRL3ZLWHZ6VHArL2pmLy82bitQaDQzWEhISFUxNkhRQ05oNUU4ME1TbVRKbWlLVk9tcUtLaW90NzlYcTlYZmZ2MjFmRGh3MVZZV0tpTEw3NVlhOWV1VmNlT0haV1ltS2dYWDN4Um16ZHYxcVdYWHFxWFgzNVo2OWV2MStMRmkrWDMrelY0OEdETm5UdFhLMWV1MU5TcFUxVmNYS3haczJZMXVMYlRXVjMvNnF1dktpb3E2cFNyN3dFQWFGRmlZbUpNVEV5TWFXa09IRGhnSms2Y2FGYXRXbVYrK09HSGtIMkJRTUJrWm1hYWI3LzlOdGhXV0Zob3RtN2QycWcxRkJVVkJmOXNTa3BLVEVGQlFhT2UvMHhVLzMyNS9lOEdPQmM0YmhjQXVLMDZNR3JmVW9hV3FmcTJ2bTNidHZIekMvZ1JmQ1lQQUlDbENIa0FBQ3pGd2p2Z2hJWStRaFVBemhXTTVOSHFHV1BTM0s0QnAyMkgyd1VBQUFBQUFBQUFBQUFBQUFBQUFBQUFBQUFBQUFBQUFBQUFBQUFBQUFBQUFBQUFBQUFBQUFBQUFBQUFBQUFBQUFBQUFBQUFBQUFBQUFBQUFBQUFBQUFBQUFBQUFBQUFBQUFBQUFBQUFBQUFBQUFBQUFBQUFBQUFBQUFBQUZ6ei93RGRUK3NNSjArRGx3QUFBQUJKUlU1RXJrSmdnZz09IiwKCSJUaGVtZSIgOiAiIiwKCSJUeXBlIiA6ICJmbG93IiwKCSJWZXJzaW9uIiA6ICIiCn0K"/>
    </extobj>
    <extobj name="ECB019B1-382A-4266-B25C-5B523AA43C14-3">
      <extobjdata type="ECB019B1-382A-4266-B25C-5B523AA43C14" data="ewoJIkZpbGVJZCIgOiAiMjQ4MTYxNDEyMzQ0IiwKCSJHcm91cElkIiA6ICI2MTcyMTE1NTEiLAoJIkltYWdlIiA6ICJpVkJPUncwS0dnb0FBQUFOU1VoRVVnQUFBZWNBQUFKY0NBWUFBQURENkd4L0FBQUFDWEJJV1hNQUFBc1RBQUFMRXdFQW1wd1lBQUFnQUVsRVFWUjRuT3pkZDN3VWRmNC84TmZNcGhBU1FnQ0JFSnFCZ0NBaXR4czlSVDFBc1NHb0ZBdUljTW9kS3FkZ1FWQ0ludnIxL01WRFJBUXJTTE1jZ29DRmlJVWFVVGxQWlNHNFlEQ1EwTktRaEpUZFpOdThmMytFckFsSkNLa3p1N3llajRlUHlYeG01clB2V1NkNU1SMGd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LaUNoUzlDeUR5RTBFV2kyV0NpUHdkd0FCRlVjTDFMaWhBT0VURUJtQ3AxV3BkQXNDdGQwRkVSc0J3SnFwZGtNVmlXUTFnbE42RkJESVIyV3kxV29lQkFVM0VjQ2FxamNWaXVSZkEwdGpZV0NRa0pDQXVMZzZ0V3JYU3U2eUFVRnhjalBUMGRNeVpNd2Q3OSs2RmlNeXlXcTB2NmwwWGtkNVV2UXNnTXJwVGg3S1JrSkFBczluTVlHNUVFUkVSNk4rL1A1NTY2aWtBZ0tJbzQzUXVpY2dRR001RXRSc0FBSEZ4Y1hyWEViQzZkT2xTL21NdlBlc2dNZ3FHTTFFdHlpLys0aDV6MHdrUDkxMWZGNlpuSFVSR3dYQW1JaUl5R0lZekVSR1J3VENjaWM1aEpTVWxWZHBFUklkS2lLZ2loak9SUVJRV0Z1S1ZWMTZCMCttczFENXQyalRzMkxIampNdHUyclFKenovL2ZLVzJFeWRPWU1TSUVkaTdkMisxeTJSbVp1S1dXMjZwRXRDdnZmWWFsaTVkV284MUlLTEd3bkFtTW9pSWlBaWNQSGtTa3lkUFJuNStQZ0RnazA4K3dYZmZmWWZFeEVUY2V1dXR2djgrK09BRDMzS2FwdUdkZDk3QlRUZmRWS20vMTE5L0haR1JrWmc3ZHk0OEhrK1Z6L3Z3d3c4eGZ2eDRoSVg5Y1EyVzNXN0h1blhyTUdqUW9DWmFTeUk2R3d4bklvTlFWUlhQUFBNTTR1UGpJU0t3V3ExWXVuUXBPblRvZ0pkZmZobWZmdm9wMXE1ZGk4aklTRng4OGNXKzVkYXZYNDhMTHJnQThmSHgrT2FiYitEMWVyRnAweWI4K09PUGVPZWRkOUNwVXljOC9mVFQ4SHE5dm1YeTh2Smd0Vm94ZnZ4NDdOcTFDOHVYTHdjQXJGeTVFcGRkZGhuaTR1THcrZWVmWStmT25jMzlOUkFSRWRYT1lyR0l4V0tScHBhUmtTR2xwYVVpSW5MczJERVpPblNvN042OVc3WnUzU29qUm95UWpJd00rZWMvL3ltSmlZbStaWEp5Y3VUT08rK1Vnb0lDMmJKbGk0d2JOMDYyYnQwcVYxOTl0ZXpidDA5RVJKeE9wMHlaTWtVZWVPQUJ5Y25KRVJHUnhNUkUyYlZybDNpOVhybnJycnRrMWFwVmtwMmRMVU9HREpGRGh3NkoxK3VWbTIrK1dWSlRVNXQ4dmN1VmY4OTYvLzhtTW9JZ3ZRc2dvaklyVjY1RWFtb3FYbjMxVmNURXhHRFJva1hvMGFNSEFDQWpJd04zM0hFSExyamdBaXhidHN5M3pPTEZpMUZTVW9JWk0yWWdQVDBkOTk1N0w1NTc3am04L1BMTDZOT25Ed0FnSkNRRWMrZk94WXN2dm9nWFhuZ0JZOGFNd1dlZmZZYnZ2dnNPRG9jRG5UdDN4ckJod3pCOStuU01HREVDM2JwMXcxZGZmWVZycnJrR3ZYdjMxdVc3SURyWDhkbmFSTFVvMzV2NytlZWZtL1J6UEI0UFpzeVlnUll0V2lBeE1SRWlncFNVRkh6NjZhZjQrZWVmTVdUSUVPellzUU85ZXZYQ0hYZmNnZjc5KzZPb3FBZ2Vqd2NMRml4QXo1NDlNV0hDQk9UazVPRHZmLzg3a3BLU0FBQ0hEeC9HckZtek1HSENCRng5OWRWWXVIQWg0dUxpMExkdlh6end3QU40ODgwMzRmRjRjTTg5OTZCTm16WUlEZzVHYUdnb1B2endRNFNHaGpicE9sY1VIeDhQQU5pNWN5Zi9MaEVSMFprMTEyRnRrYkpEMEVlUEhwWDE2OWZMQ3krOElNdVdMWk5mZnZsRk5FMlREUnMyaUtacDhzTVBQMGhpWXFJc1hicFVSRVNTa3BMa3NjY2VFMDNUZlAxY2VlV1ZVbEpTSW9zWEw1YXJyNzVhbGkxYkpsNnZ0OUpuUGZiWVkvTFdXMi81eGgwT2gzaTlYbm44OGNkbHo1NDl6YksrRmZHd050RWYrQzlVb2xvMDE1NHpBR3pZc0FHNXVibTQrdXFyOGVDREQxYWFscDJkamVqb2FOLzRmLzd6SDZTbnAyUEtsQ200K2VhYlliZmIwYUZEQjB5Yk5nMVhYSEVGV3JWcUJZdkZnb2NlZWdpZE8zZXUxTmU2ZGV1d2J0MDZyRml4QWlhVENVRFpWZCtKaVlubzFLa1RKazJhMU9UcmVqcnVPUlA5Z2VlY2lRemtsMTkrUWJkdTNkQzllM2NrSlNVaE5UVVY1NTkvUGtKRFEzSFZWVmNoS1NrSk5wc04vZnIxQXdCRVJVVmh4b3daaUltSlFYUjBORHAwNkFBQVVCUUZiNzc1cHUrY05WQjJmdnJXVzI5RlRrNE9FaE1UMGExYk4weVlNQUVPaHdPVEowL0dMNy84Z284Ly9oZ1hYWFFSUHYvOGM3aGNMblR0MmhWdnZQR0dMdDhGRVJGUmpacnpzUFk5OTl3anUzZnZGaEdSd3NKQ3VlR0dHMlR6NXMwaVVuYW8ydWwweXJCaHcyVC8vdjFWbGoxNjlLaHMzcnhaTkUyVEs2Kzhzc3IwWWNPR3ljR0RCOFhsY3NubXpac2xOVFZWQ2dvS2ZOTVBIandvUC8zMGt4dytmRmdjRGtjVHJXSE5lRmliNkEvY2N5WXlDTGZiamJTME5OOFYwdi82MTc5dzJXV1g0WnBycnZITkV4SVNnZ2NmZkJEUFAvODhWcXhZZ1UyYk51R2pqejVDUmtZR1ltSmkwTGR2WHd3Wk1nUW1rd2w1ZVhsbzI3WXRBT0RJa1NQSXo4OUg1ODZkRVJ3Y1hLblBjckd4c1lpTmpXMmVsU1dpTTJJNEV4bkV2bjM3MEtsVEo3Um8wUUtMRnk5R1ZsWVc1cytmRDVmTGhTTkhqdmllNURWOCtIQ3NXYk1HbjMvK09mcjM3NCtISDM0WUYxeHdBWUtDL3ZoMUhqVnFGRzY1NVJiZnVLSW9tRFJwRWtKQ1FuRGRkZGZWcWE0Wk0yYmcrdXV2YjV5VkpDSWlhZ3pOZFZnN0tTbEpubjMyV1JFUitlbW5ueVEvUDE4MmJOZ2dsMXh5aVZ4NTVaV3llUEZpMzd4cGFXbVNuNS9mNURVMUp4N1dKdm9EcjRva3FrVnpYcTB0SWxDVWMvUFhrbGRyRS8yQno5WW1NcEJ6TlppSnFES0dNMUh0SEFCUVhGeXNkeDBCeStGd2xQOVlxbWNkUkViQmNDYXFoWWpZQUNBOVBWM3ZVZ0pXVmxZV0FFQkVEdXBjQ3BFaE1KeUphcmNVQU9iTW1ZUFUxRlRZN1hhOTZ3a1lEb2NEQnc0Y3dOeTVjOHViMXVoWkQ1RlI4QVFYVWUyQ3pXYnpGNHFpRE5XN2tBRDNnOVBwSEdTejJWeDZGMEtrTjVQZUJSRDVBUzA3TzN0bGRIUzBRMUdVRGdBaUFRVHJYVlNBS0JXUi9RRGVkTGxja3hqTVJFUVVzSGpQTUpGLzR6bG5JaUlpZzJFNEV4RVJHUXpEbVlpSXlHQVl6a1JFUkFiRGNDWWlJaklZaGpNUkVaSEJNSnlKaUlnTWh1Rk1SRVJrTUF4bklpSWlnMkU0RXhFUkdRekRtWWlJeUdBWXprUkVSQWJEY0NZaUlqSVloak1SRVpIQk1KeUppSWdNaHVGTVJFUmtNQXhuSWlJaWcyRTRFeEVSR1F6RG1ZaUl5R0FZemtSRVJBYkRjQ1lpSWpJWWhqTVJFWkhCTUp5SmlJZ01odUZNUkVSa01BeG5JaUlpZzJFNEV4RVJHUXpEbVlpSXlHQVV2UXNnb29Zem04MURBUXdySDFjVVpUb0FpTWpMRldiYlliVmExelozYlVSVWQwRjZGMEJFamNKVEhzZ1ZWV3p6ZXIyam03Y2tJcW92SHRZbUNnQldxL1U3RWNrN3d5eUZIby9uODJZcmlJZ2FoT0ZNRkJnOEFGYWRZZm9tbTgzbWFxNWlpS2hoR001RWdXTmRUUk5FNUtQbUxJU0lHb2JoVEJRZ2lvcUt0Z01vUEwxZFJPejUrZm1mNkZBU0VkVVR3NWtvUUtTbHBUbEZaTTNwN1lxaWJNbkl5Q2pWb3lZaXFoK0dNMUVBRVpFcXQwcHBtc2JicDRqOERNT1pLSURrNXVadUEyQ3YwRlRpZHJzWnprUitodUZNRkVBeU16TWRBQ3FlWDA2MjJXekZldFZEUlBYRGNDWUtNSnFtVlR6dnpBdkJpUHdRdzVrb3dKU1VsR3dHVUNvaUxyZmJ2VnJ2ZW9pbzdoak9SQUVtTlRXMVNFU1NGRVg1ZHMrZVBmbDYxME5FZGNkbmF4TUZJQkZaRFNCYTd6cUlxSDc0VmlxaXN4TmtzVmdtaU1qZkFReFFGQ1ZjNzRJQ2hFTkViQUNXV3EzV0pRRGNlaGRFWkFRTVo2TGFCVmtzbHRVQVJ1bGRTQ0FUa2MxV3EzVVlHTkJFREdlaTJsZ3NsbnNCTEkyTmpVVkNRZ0xpNHVMUXFsVXJ2Y3NLQ01YRnhVaFBUOGVjT1hPd2QrOWVpTWdzcTlYNm90NTFFZW1ORjRRUjFlTFVvV3drSkNUQWJEWXptQnRSUkVRRSt2ZnZqNmVlZWdvQW9DaktPSjFMSWpJRWhqTlI3UVlBUUZ4Y25ONTFCS3d1WGJxVS85aEx6enFJaklMaFRGU0w4b3UvdU1mY2RNTERmZGZYaGVsWkI1RlJNSnlKaUlnTWh1Rk1SRVJrTUF4bklvUEp5OHVEcG1tK2NVM1RjT2pRSVFDQTErdHR0TS9KemMxdHRMNklxSEV4bkltYWtOUHBSRTVPVHBYMjQ4ZVBvNkNnb05wbFpzK2VqYSsrK3NvM1hsSlNndHR2dngwQThPU1RUMkx4NHNXVndycytSQVREaGcycjgzTC85My8vVjZYdHM4OCt3NElGQ3hwVUR4RlZ4bkFtYWtKNzkrN0Y1TW1US3dXMGlPRHBwNS9HdkhuenFzeHZzOWx3L1BoeDNIREREYjYyc0xBd2VMMWVpQWorOWE5LzRkQ2hRN0JhclEycVMwU2dxblgvOWQrOGVYT2w4YU5IajJMQmdnWFl1SEVqZHUvZTNhQ2FBb0haYkI1cU5wc0h3ODhlalJ3V0ZuYTV4V0tSdUxpNERUVk5BOUNpQWYxMzdkNjkrM3NYWDN4eHJzVmk4UTRZTU9Ca1RFek1jK1hUdTNidE91L2lpeS9PTlp2TjdqNTkrdndjRmhaMmVYMC9LMUQ0MVFaRTVHL01aak5Hamh5SlR6NzVCUGZmZno4QVlPWEtsU2d1THNZcnI3eFNaZjdYWDM4ZFU2ZE9SV3BxS2t3bUUzcjM3ZzI3M1k3ZzRHQWtKeWNqUHo4Zm5UdDN4bWVmZlFaVlZXRTJtK3RjMC9QUFA0OE5HelpBMHpRTUhEalExNTZVbElUcnI3OGVFUkVSdnJiaTRtTDgvUFBQMWZaejRzUUpQUHJvbzNqc3NjZlFwVXNYekpvMUMyKy8vWGJGMjZMT1JjTVVSWmx1TnB2ekFLd0NzSzZvcUdoN1dscWFVKy9DemtaRVJNUmYyclZyTi9IRWlSUHZObUszd1QxNzlrek96OC8vT0NVbDVXSUFKMEpDUXVKYXRHZ1JXejVEWVdIaDkwZU9ISGtlZ0hUdjNuMXVYRnpjdWoxNzluUUdJSTFZaDE5aE9CTTFnWFhyMWlFeE1SRkEyVGxqVlZYeHpqdnYrS1pybW9aQmd3YjV4bi84OFVkczNib1ZBREI0OEdCTW5EZ1JGMTU0SWI3KyttdTBhdFVLSW9JTkd6YWdhOWV1Nk5TcEUvcjM3NC96enorL1hyVTkvZlRUZVBMSkp6RjQ4R0I4Ly8zM0FJQnJyNzBXSnBNSkFKQ2NuT3liTno0K0hnQXdZc1FJZUwxZTJPMTJEQnMyRFBQbXpVTkNRZ0ltVFpvRWg4T0I5UFIwekpneEEvZmRkeCtlZnZycFNxRi9MbElVcFMyQUtRQ21SRVpHRnByTjVqVWlzalkzTjNkYlptYW1RKy82YXBLVmxaWFl1WFBuVjA2Y09QRVZnS3JuWStvaFBEeThYMGhJU095eFk4Zm1sUGZwY3JuMnVWeXVmZVh6RkJRVStONUJmdUxFaVEvYXRtMDdFV1ZIZGh2dklncy93M0FtYWdLalI0L0c2TkdqQVFBMzNuZ2pGaTllaks1ZHUvcW14OGZISXprNUdTMWJ0dlMxclZ1M0RnY1BIc1N0dDk2SzZPaG9QUEhFRTNqeXlTZWhLQXBHang2TmFkT21WZG9yYmNoNVo3ZmJqYUNnUDM3OXZWNnZMNXlyazVTVUJLRHNIdzRyVjY3RWxDbFQ4TXd6ejJEQWdBRW9MaTdHbWpWcmNPdXR0Nko5Ky9aSVRFeEUxNjVkei9VOTZJb2lGVVdacENqS3BPam9hSHQwZFBRbm1xYXRLU2twMlp5YW1scWtkM0VWNWVUa3ZOYTZkZXViZXZUbzhmckJnd2R2YTR3KzdYYjdJVTNUSE4yNmRYdng4T0hEVXdFVTF6Q3JFaFlXMXJWang0NFBIejkrL0EyY3c4RU1NSnlKRE9QZi8vNDNTa3RMTVhIaVJDUWtKRUJWVlJRVUZPRElrU05RRkFYTGxpMkR4K1BCa1NOSGtKV1ZoYi84NVMrWVBYdDJ2VDZydExRVUxWcjhjUXJSNC9GVUN1c3pDUTBOeFFjZmZJRGh3NGRYYWwreFlnWDY5KytQOTk5L3YxNDFsYk5ZTEI0QUlpSmVSVkcwYW9hYW9pamUwNGNBTkFCVnhnSFV1RXdOdzBxZkNjQTNyYnkvTTh3N3FLYjFPaVVjd0hoVlZjZUhoNGVYbXMzbXBGT3Y5OXk0YTlldWt3MzY0aHFIZHVqUW9VbDkrdlRaM2JwMTZ6RUZCUVZyRzZIUC9JTUhEOTV4L3ZubnI0aUtpaHFlazVNelB5Y25ad0VxaEhSNGVQaTFGMXh3d1VZQUtDd3NURHA2OU9pVGpmQzVmbzNoVE5URVJNN3V0Rm5MbGkzeHdnc3Y0TGJiYmtQMzd0MlJsSlNFUllzV29XdlhybEFVQmFXbHBianBwcHZRb1VNSE9Cd09EQmd3b040MTVlZm5JeW9xeWpkZVd6aDd2Vjc4OHNzdktDa3B3UzIzM0lLTkd6ZmlpeSsrcURUUGswOCtXZWxRZlgySmlLcVVDUUlBUlNsN1AwOXR3M0tuajllbGp6UDFYZFBuMUZUSFdhNW5Xd0RScXFvYTVtK3gwK25jbjVXVjlYUzNidDFlMzdObno5Ykc2TE93c1BEemxKU1V1SmlZbUVlam82Tm50Ry9mL29IMDlQU2I3WGI3YmdDdzIrMmJkdTdjYVFvSkNla1RHeHU3N1B6enoxK1NrWkV4dmpFKzIxOFpab01nQ2lTWFhucXA3MmROMDN5SHVDc2FQSGl3NytmNzdyc1BuVHAxOGwwTlBXSENCSXdkT3hhZmZmWVpBR0RWcWxVNGZQZ3dMci84Y3N5ZVBSdkJ3Y0VOQ3VjalI0NmdjK2ZPdm5HUHg0UGc0T0JxNXkwc0xNVHc0Y09oYVJwTUpoTmVlKzIxS3ZQODl0dHZPSGJzV0wxdXp6cWQxV3BWVWZiR1BMVmZ2MzRtdTkydVJrWkdtcHhPcHhvUkVhR1dscGFhM0c2M0doSVNZZ29ORFZYZGJyZko2L1dxSnBQSnBHbWFieGdVRktTcXFtclNORTMxZXIwbWs4bmtHMnFhWmxKVjFUY1VFZCs4NVVNUk1hbXFxaXFLWWpvVnBPVkRWVVJPYnlzZmpsUVVaY2daVnE4RVFES0FmVjZ2TnlrbEpXVkxnNyt3SnBDYm16c3ZLaXBxVFBmdTNlZm41dWErMFVqZG5zek16SHdtTXpQejFWNjllcTNxM3IzN3lyMTc5MTVZWWJybWNybjJabVZsUGRlelo4OVBNakl5SnFEczZNYzVpZUZNMUFSKy9QRkhBR1huZGdjT0hJanQyN2RYT294YzNUbm5IMzc0QVpNblQwWnNiQ3hpWTJNcm5hTys5TkpMOGNFSEgrRHc0Y05vMmJJbFpzNmNpZDkvL3gzbm5YZGV2ZXJidlhzMyt2YnRDd0J3dVZ4bjNHdHUxYW9WWG56eFJWeDY2YVc0N3JycmNNRUZGL2ltTFYrK0hGMjdka1ZLU2dwZWUrMDEzeDUreFhXdEp3SGd0ZGxzZm5YZTBXdzJkd1V3cEdLYmlOZ1ZSZG1pYWRwYXQ5dTkxbWF6MVhUTzFVaTBqSXlNZS92MjdXdDFPcDBIR3JudnZLeXNyTVRldlh0dlF0bEZYNmNIc0lpSXU1cjJjd3J2Y3lacVFqYWJEVjI3ZGoycnNMcnNzc3Z3dDcvOURSZGRkQkZTVTFPeFljTWZ0NXdlUG53WTJkblphTnUyTFY1ODhVV2twYVhoeVNmTFRzdFY5NUNUTXhFUmJObXlCVmRjY1FXQXN2UFBOZTAxQTJXSGE2Kzg4a3FFaElUNDJ2NzYxNzhpTHk4UEgzendBUVlOR29UdDI3Y0RBUGJ0MjRkSEhubWtUdlVFcUVJQTYwUmszUEhqeDl2djNMbnpsbDI3ZHEzd2syQUdBTGhjcmw5emNuS2VqWTZPZnFKaWUxaFlXTmVhbHFsT2VIajR4ZEhSMGY4TURRM3RoYklkd3VnT0hUcE1MaW9xMmd4QUN3a0p1YkJObXpaM2xYVWQxcTFUcDA1UDUrWGxyVzY4TmZGUDNITW1ha0x2dmZjZXJyLysrck9hOTYyMzNzTDY5ZXNSR2hvS3M5bU1hNjY1QnQ5ODh3MldMMThPajhlREtWT200S09QUGtKV1ZoYjI3ZHVIdm4zN3d1Vnk0Yjc3N3NQSWtTTng3NzMzbnRYbmJONjhHYUdob2Jqb29vc0FsTzNsdDJ2WHpqZjl1dXV1TytQeWVYbDVLQ2dvUU51MmJRRUF3Y0hCV0xGaUJieGVMNzc0NGdzY09YSUVPVGs1Nk5peDQxblZFMkIyYUpvMnl1MTJiN0RaYkM2OWkybW83T3pzdWExYnR4NGRIaDcrNTFOTkxYcjA2TEgxOTk5L1g1S1RrNU40Tm4xb21wWWZFUkV4dUdQSGpvK29xaHJwOFhoeUNnb0trZzRlUFBnUUFLaXFhdS9Zc2VQajU1OS8vbkpOMDRyejgvTS9Pbno0OEdOTnRsSkVGQmdzRm90WUxCYXBxM2ZmZlZkdXZQRkdLU3dzckRMTllyR0kzVzZ2MUxaLy8zN0p5Y254amYvakgvK1FpUk1ueXRkZmZ5MmFwb21JeUh2dnZTZURCZzJTcTY2NlNuNzU1UmNSRWNuTnpaVXhZOGJJSzYrOGNsWjFqUjQ5V3BLVGsrV3R0OTRTaThVaWwxMTJtYXhaczhaWDErbDFpb2lVbHBaS2ZuNitYSFBOTmJKcDB5Wlp0R2lSaUlnTUdUSkU4dkx5eE9QeHlGZGZmU1V6WnN5UTk5NTdUMncyMjFuVmN2cG5uWG9TRlJsWXk1WXRZeTY4OE1LOVhicDBlVW52V29qb0hGYWZjTjYvZjc5Y2UrMjE4dXV2djlZWVJLZUg4K2tjRGtlMTdTZFBucFRjM054S2JjZVBINWYvL3ZlL1oxWGIwYU5IZlQ5N3ZWNWY4SXVJZUR5ZVN2T1dqMTkvL2ZWeStlV1h5OXk1YzMzTGlZaTgrZWFiTW1yVUtMbmxsbHRrNHNTSnNuZnYzck9xb1RvTVo3L1NLVHc4L0ZxOWl3aGtkYnYybitnY1ZCNFlOVDNHc2lZT2g2UFNCVjhWWldabW9sT25UblcrL1NhUWxUK05iT2ZPbmZ4UzZKekhjODVFVGFTbVlBYUFtSmlZWnF5RWlQd05yOVltcXAwREtIc0pCRFVOaDhQM3VPbFNQZXNnTWdxR00xRXRSTVFHQU9ucDZYcVhFckN5c3JJQUFDSnlVT2RTaUF5QjRVeFV1NlVBTUdmT0hLU21wc0p1dCt0ZFQ4QndPQnc0Y09BQTVzNmRXOTYwNWt6ekU1MHJlT0VGVWUyQ3pXYnpGNHFpRE5XN2tBRDNnOVBwSEJRSTl3Y1ROVlRONzRnam9uSmFkbmIyeXVqb2FJZWlLQjBBUkFLbytaRmFWQmVsSXJJZndKc3VsMnNTZzVtSWlBSVc3eGttOG04ODUweEVSR1F3REdjaUlpS0RZVGdURVJFWkRNT1ppSWpJWUJqT1JFUkVCc053SmlJaU1oaUdNeEVSa2NFd25JbUlpQXlHNFV4RVJHUXdER2NpSWlLRFlUZ1RFUkVaRE1PWmlJaklZQmpPUkVSRUJzTndKaUlpTWhpR014RVJrY0V3bkltSWlBeUc0VXhFUkdRd0RHY2lJaUtEWVRnVEVSRVpETU9aaUlqSVlCak9SRVJFQnNOd0ppSWlNaGlHTXhFUmtjRXduSW1JaUF5RzRVeEVSR1F3REdjaUlpS0RZVGdURVJFWmpLSjNBVVRVY0dhemVTaUFZZVhqaXFKTUJ3QVJlYm5DYkR1c1Z1dmE1cTZOaU9vdVNPOENpS2hSZU1vRHVhS0tiVjZ2ZDNUemxrUkU5Y1hEMmtRQndHcTFmaWNpZVdlWXBkRGo4WHplYkFVUlVZTXduSWtDZ3dmQXFqTk0zMlN6MlZ6TlZRd1JOUXpEbVNod3JLdHBnb2g4MUp5RkVGSERNSnlKQWtSUlVkRjJBSVdudDR1SVBUOC8veE1kU2lLaWVtSTRFd1dJdExRMHA0aXNPYjFkVVpRdEdSa1pwWHJVUkVUMXczQW1DaUFpVXVWV0tVM1RlUHNVa1o5aE9CTUZrTnpjM0cwQTdCV2FTdHh1TjhPWnlNOHduSWtDU0dabXBnTkF4ZlBMeVRhYnJWaXZlb2lvZmhqT1JBRkcwN1NLNTUxNUlSaVJIMkk0RXdXWWtwS1N6UUJLUmNUbGRydFg2MTBQRWRVZHc1a293S1NtcGhhSlNKS2lLTi91MmJNblgrOTZpS2p1K0d4dG9nQWtJcXNCUk90ZEJ4SFZEOTlLUlhSMmdpd1d5d1FSK1R1QUFZcWloT3RkVUlCd2lJZ053RktyMWJvRWdGdnZnb2lNZ09GTVZMc2dpOFd5R3NBb3ZRc0paQ0t5MldxMURnTURtb2poVEZRYmk4VnlMNENsc2JHeFNFaElRRnhjSEZxMWFxVjNXUUdodUxnWTZlbnBtRE5uRHZidTNRc1JtV1cxV2wvVXV5NGl2ZkdDTUtKYW5EcVVqWVNFQkpqTlpnWnpJNHFJaUVELy92M3gxRk5QQVFBVVJSbW5jMGxFaHNCd0pxcmRBQUNJaTR2VHU0NkExYVZMbC9JZmUrbFpCNUZSTUp5SmFsRis4UmYzbUp0T2VManYrcm93UGVzZ01ncUdNeEVSa2NFd25JbUlpQXlHNFV6a1J6Uk5xOUptdDl1cmJTY2kvOFZ3SnZJVEowNmN3TWlSSStIMWVpdTFUNTA2RmV2V3JhdHh1ZWVmZng3NzkrOXY2dktJcUJIeDhaMUVmbUxEaGcwWU9IQWdUQ1lUSG56d1FSdy9maHdBa0orZmoxZGVlUVdyVjVlOTR5SXFLZ3FMRmkwQ0FQenl5eS9ZdlhzM1pzK2VEUUFZT0hBZ29xS2lxdlJkVkZTRWI3Lzl0cG5XSkhDWnplYWhBRHhXcS9VN0FCNjk2Nm1Qc0xDd3kvdjI3YnVqc0xEd2k3UzB0SnVxbTdaejU4NHdBS1gxN0w5cmh3NGQvbC9yMXExdkNBb0thdWYxZW91T0h6LythbVptNWpPTnNnSUJndUZNNUFjMFRjUEhIMytNZWZQbUFRQU9IVHFFcEtTa2F1ZTk5ZFpiZlQvUG56OGZNMmZPeElFREJ4QWVIZzZQeDRNdnZ2aWl5aklEQnc1c21zTFBQY01VUlpsdU5wdnpBS3dDc0s2b3FHaDdXbHFhVSsvQzZpb2lJdUl2N2RxMW0zaml4SWwzRzdIYjRKNDlleWJuNStkL25KS1NjakdBRXlFaElYRXRXclNJYmNUUENBZzhyRTNrQjdadDI0YlkyRmk0M1c2ODhzb3JaN1hNSjU5OGdzNmRPK1BpaXkvRzQ0OC9qZ01IRGpSeGxWUk9VWlMyaXFKTVVSUmxZMlJrWks3WmJGN3lwei85NmFhWW1KaVdldGQydHJLeXNoSTdkKzc4Q29DT2pkVm5lSGg0djVDUWtOaGp4NDdOQVpBTndPMXl1ZllWRmhadWFLelBDQlRjY3lieUE0c1dMY0tvVWFPd2ZQbHlYSGJaWmRpOGVUUHV1T09PYXVkMU9zdDIwdDU3N3oyNFhDNk1IajBhc2JHeEdEUm9VSE9XVEgrSVZCUmxrcUlvazZLam8rM1IwZEdmYUpxMnBxU2taSE5xYW1xUjNzWFZKQ2NuNTdYV3JWdmYxS05IajljUEhqeDRXMlAwYWJmYkQybWE1dWpXcmR1TGh3OGZuZ3FndURINkRVUU1aeUkvTUhUb1VOaHNObVJuWitQbW0yL0cyMisvN1R2SGZMcnlQZVJseTVhaG9LQUE0OGVQeDh5Wk01dXozQWF4V0N3ZUFDSWlYa1ZSdEdxR21xSW8zdE9IQURRQVZjWUIxTGhNRGNOS253bkFONjI4dnpQTVc5dS9nTUlCakZkVmRYeDRlSGlwMld4T092VjZ6NDI3ZHUwNjJXUmZhdjFvaHc0ZG10U25UNS9kclZ1M0hsTlFVTEMyRWZyTVAzanc0QjNubjMvK2lxaW9xT0U1T1RuemMzSnlGb0FoWFFYRG1jZ1BUSm8wQ2ZmZmZ6OW16NTROUlZHZ2FacHZ6L25Ja1NQbzJyV3JiM2o0OEdIODk3Ly9SV1JrSlA3MXIzOWgzTGh4Nk42OXU2K3ZZY09HNmJVYVowVkVWS1ZNRUFBb1N0bjdlV29ibGp0OXZDNTluS252bWo2bnBqck9jajNiQW9oV1ZkV1FmNHVkVHVmK3JLeXNwN3QxNi9iNm5qMTd0alpHbjRXRmhaK25wS1RFeGNURVBCb2RIVDJqZmZ2MkQ2U25wOTlzdDl0M04wYi9nY0tRR3dRUlZmYnFxNi9DYnJmajY2Ky9SbzhlUGVCMmw3MVZjZlhxMWJqNzdydngvdnZ2WTl5NGNWaTVjcVh2Z3JCTm16Ymh4eDkveEJWWFhJRjU4K1poN05peGlJbUp3YWVmZmxxbC85R2pSemZyK3B5SjFXcFZVZmJHUExWZnYzNG11OTJ1UmtaR21weE9weG9SRWFHV2xwYWEzRzYzR2hJU1lnb05EVlhkYnJmSjYvV3FKcFBKcEdtYWJ4Z1VGS1NxcW1yU05FMzFlcjBtazhua0cycWFabEpWMVRjVUVkKzg1VU1STWFtcXFpcUtZam9WcE9WRFZVUk9ieXNmamxRVVpjZ1pWcThFUURLQWZWNnZOeWtsSldWTGMzeW5EWkdibXpzdktpcHFUUGZ1M2VmbjV1YSswVWpkbnN6TXpId21NelB6MVY2OWVxM3EzcjM3eXIxNzkxN1lTSDBIQklZemtSKzQ4ODQ3TVdiTUdMUnExUXBGUlVWbzI3WXRBR0RjdUhFNGRPZ1F4bzBiaDR5TURJd2JOdzQ1T1RrQWdOVFVWUFRzMlJQNzl1MUR6NTQ5MGFaTkczejY2YWRJU2twQ1hGd2MrdlRwZysrLy94NnRXN2MrNDMzU09oRUFYcHZONXExMVRnTXhtODFkQVF5cDJDWWlka1ZSdG1pYXR0YnRkcSsxMld6K2RnaFh5OGpJdUxkdjM3NVdwOVBaMkZjVjVtVmxaU1gyN3QxN0U4b3VVT2JUZEU1aE9CUDVnYzZkTzZPZ29BQ0hEaDNDcGsyYjBMTm5UeHc0Y0FBclY2NnNjYy81d1FjZjlDMWZYRndNdDl1Tnc0Y1BZODZjT1ZpeVpBa0FJQzh2RDg4Kyt5emVmZmRkUkVkSDY3SnVBYW9Rd0NZUitlajQ4ZU9mSGoxNnRFVHZnaHJDNVhMOW1wT1Q4MngwZEhTbGU1SER3c0s2bHBTVUhEbmJmc0xEd3k5dTFhclZ5THBNZHZvQUFDQUFTVVJCVlB6OC9KVk9wek1kd0hrZE9uU1lYRlJVdEJrTTVrb1l6a1IrNEthYmJrSmVYaDc2OSsrUEF3Y09ZT3JVcWJYZUdyVmh3d2JzM3IwYnUzZnZodDF1eDh5Wk16RjM3bHc4OXRoajZOV3I3TTJNSTBhTXdQNzkrL0hvbzQ5aTZkS2xDQXZqUzZFYWFJZW1hYVBjYnZjR204M20wcnVZeHBTZG5UMjNkZXZXbzhQRHcvOThxcWxGang0OXR2NysrKzlMY25KeUVzK21EMDNUOGlNaUlnWjM3Tmp4RVZWVkl6MGVUMDVCUVVIU3dZTUhIMnJDMG9rb0VGa3NGckZZTEtLblBYdjJTRWxKaVJ3NGNFQUdEeDRzaFlXRmN2dnR0NHVJeVBqeDQwVkVaT3pZc2VKMnUrV0dHMjRRRVpGMzNubEhQdnZzTXpsMjdKZ1VGeGZMeElrVFplN2N1Vlg2OW5nODhyZS8vVTFtelpyVmZDdFVqZkx2V2UvLzMzVDJXclpzR1hQaGhSZnU3ZEtseTB0NjEwSkU1eGdqaEhPNWZmdjJ5ZXJWcTBWRVpPclVxU0lpa3AyZExTSWk2ZW5wTW5ic1dIbisrZWVyTEhmaXhBbFp0R2lSZUwzZWF2czlmdnk0cEtTa05GSFZaNGZoN0xjNmhZZUhYNnQzRVlHbWJ0ZitFNTJEeWdQajU1OS8xcnVVZ0JZZkh3OEEyTGx6Si84dTBUbVBqKzhrSWlJeUdJWXpVZTBjUU5rVno5UTBIQTVIK1kvMWV0TVJVYUJoT0JQVlFrUnNBSkNlbnE1M0tRRXJLeXNMQUNBaUIzVXVoY2dRR001RXRWc0tBSFBtekVGcWFpcnNkcnZlOVFRTWg4T0JBd2NPWU83Y3VlVk5hL1NzaDhnb2VPRUZVZTJDeldiekY0cWlETlc3a0FEM2c5UHBIQlJvOXdjVDFZZEo3d0tJL0lDV25aMjlNam82MnFFb1NnY0FrUUNDOVM0cVFKU0t5SDRBYjdwY3Jra01aaUlpQ2xpOFo1akl2L0djTXhFUmtjRXduSW1JaUF5RzRVeEVSR1F3REdjaUlpS0RZVGdURVJFWkRNT1ppSWpJWUJqT1JFUkVCc053SmlJaU1oaUdNeEVSa2NFd25JbUlpQXlHNFV4RVJHUXdER2NpSWlLRFlUZ1RFUkVaRE1PWmlJaklZQmpPUkVSRUJzTndKaUlpTWhpR014RVJrY0V3bkltSWlBeUc0VXhFUkdRd0RHY2lJaUtEWVRnVEVSRVpETU9aaUlqSVlCak9SRVJFQnNOd0ppSWlNaGlHTXhFUmtjRXduSW1JaUF5RzRVeEVSR1F3aXQ0RkVGSERtYzNtb1FDR2xZOHJpaklkQUVUazVRcXo3YkJhcld1YnV6WWlxcnNndlFzZ29rYmhLUS9raWlxMmViM2UwYzFiRWhIVkZ3OXJFd1VBcTlYNm5ZamtuV0dXUW8vSDgzbXpGVVJFRGNKd0pnb01IZ0NyempCOWs4MW1jelZYTVVUVU1BeG5vc0N4cnFZSkl2SlJjeFpDUkEzRGNDWUtFRVZGUmRzQkZKN2VMaUwyL1B6OFQzUW9pWWpxaWVGTUZDRFMwdEtjSXJMbTlIWkZVYlprWkdTVTZsRVRFZFVQdzVrb2dJaElsVnVsTkUzajdWTkVmb2JoVEJSQWNuTnp0d0d3VjJncWNidmRER2NpUDhOd0pnb2dtWm1aRGdBVnp5OG4yMnkyWXIzcUlhTDZZVGdUQlJoTjB5cWVkK2FGWUVSK2lPRk1GR0JLU2tvMkF5Z1ZFWmZiN1Y2dGR6MUVWSGNNWjZJQWs1cWFXaVFpU1lxaWZMdG56NTU4dmVzaG9ycmpzN1dKQXBDSXJBWVFyWGNkUkZRL2dmQldxaUNMeFRKQlJQNE9ZSUNpS09GNkZ4UWdIQ0ppQTdEVWFyVXVBZURXdXlDZGNUdHJHdHpPaUtyaDcrRWNaTEZZVmdNWXBYY2hnVXhFTmx1dDFtRTRkLzl3Y2p0ckJ0ek9pUDdnMStGc3NWanVCYkEwTmpZV0NRa0ppSXVMUTZ0V3JmUXVLeUFVRnhjalBUMGRjK2JNd2Q2OWV5RWlzNnhXNjR0NjE2VUhibWROaDlzWlVmWDgrb0t3VTRjWWtaQ1FBTFBaekQrWWpTZ2lJZ0w5Ky9mSFUwODlCUUJRRkdXY3ppWHBodHRaMCtGMlJsUTl2dzVuQUFNQUlDNHVUdTg2QWxhWExsM0tmK3lsWngwNjQzYld4TGlkRVZYbTErRmNmbEVPOTJTYVRuaTQ3N3FuTUQzcjBCTzNzNmJIN1l5b01yOE9aeUlpb2tERWNDWWlJaklZaHJQQmVMMWVuRGh4QWdEZ2R2T09FanF6N094c3ZVc2dvaWJBY0s3RzBhTkg4ZlhYWDFkcGYrKzk5K0IwT3MrcWowT0hEbUhSb2tWMS91d2pSNDVnNHNTSmNMbGNtREJoQWo3NXBQSjdDeVpQbm94dDI3WlZhaXNvS01EVlYxK056TXpNT244ZSthK0NnZ0xjZGRkZE9IYnMyQm5uNHpaRDVILzQrTTVxckYrL0hzSEJ3VlhhNTgrZmo1dHZ2aG1ob2FHVjJpKzU1QkpFUmtZQ0FBb0xDL0hUVHovaHl5Ky9oSWpVK2JOYnRHZ0JUZE1RRWhLQ045NTRBeSsvL0RLdXZmWmFSRVJFWU51MmJkaTFheGVLaTR2eDl0dHZBd0FHREJnQWs4a0VwOU9KNmRPblYrcHIxS2hSdU9PT08rcGNRNkF5bTgxREFYaXNWdXQzQUR4NjExTVhtcWJoMm11dnJkSnV0OXR4NTUxM0lpUWtwTXEwTFZ1MmNKc2g4bE1NNTlPSUNMNzY2aXRrWjJkanlaSWxBTXIrbUwzMTFsczFMdE9tVFJ0czNMZ1JPVGs1R0RkdUhGd3VGejcrK0dNNEhBNnNYbDM1cFVBZmZQQUJPblhxQkUzVGNQWFZWMWY3K1E2SEE0TUhEL2ExRFI4K0hBc1hMc1Q4K2ZPeGZ2MTZ6Snc1RTRtSmlXalRwZzEyN3R5SnhNUkVmUHJwcDVnK2ZUcGVmZlZWdEduVHBwRytqWUF6VEZHVTZXYXpPUS9BS2dEcmlvcUt0cWVscFozZDRSQWRpUWdLQ2dydzg4OC9Bd0IrK3VrbkhEOStITU9HRGNQUFAvK00zMzc3RFZkZWVTVzZkdTBLbDh1RmdRTUhJaXNyaTlzTWtaOWlPSi9tdi8vOUwvcjA2ZU03bkp5VWxJU3RXN2Y2cHVmbDVTRXFLcXJhWmUrKysyNEF3T3JWcXhFZkg0K25uMzRhTFZxMDhFMi81Wlpib0NobEQyVVRFUlFYRi92KzJKWXJLU25CMEtGRGtaeWNYS245MTE5L3hYMzMzWWZvNkdqY2NjY2RzRnF0Nk4yN041NTc3amw4K09HSGFOZXVIVWFOR29XMHREUmNldW1sRGY4aUFwaWlLRzBCVEFFd0pUSXlzdEJzTnE4UmtiVzV1Ym5iTWpNekhYclhWeDFWVmZIQ0N5OWc0Y0tGMkxScEUwd21FKzY3N3o0QVFGUlVGQTRmUG96Rml4ZWpWYXRXdU9xcXEvRDIyMitqb0tDQTJ3eVJuMkk0bjJiUm9rV1lPbldxYnp3OVBSM25uMysrYi95aGh4N0N6VGZmakFjZWVNQVh0S2Y3N2JmZmNQLzk5K09PTys3QWtpVkwwTDU5ZXdCbGdheXFaejdOMzZKRkM3amRibWlhQmxWVnNXM2JOdlR0MnhkOSt2VEIrUEhqc1h6NThrcnp0Mm5UQmxPbVRLblNUM3A2T243ODhjZXpYT3R6V3FTaUtKTVVSWmtVSFIxdGo0Nk8va1RUdERVbEpTV2JVMU5UaS9RdXJweWlLQmcwYUJDKy92cHJUSjgrSFZkZGRaVnZXK3Jac3lkbXpweUp4eDU3RE1uSnlmajIyMjl4eVNXWEFBQzNHU0kveFhDdVlOT21UUkFSdEcvZkhvV0ZoWWlNak1UT25UdngxNy8rMVRmUFN5KzloTm16WitQbzBhTjQ1cGxuS3Azckt3L3I1NTU3RG9jT0hVTEhqaDJoYVJxT0h6K085dTNidyt2MUlpaW84bGRlOGZBMUFHemN1Qkd0VzdkR2ZuNCtJaUlpOE54enorR3R0OTVDeDQ0ZEVSSVNVdVV3ZVUwR0RoeFkzNitoUmhhTHhRTkFSTVNyS0lwV1lhZ3BpdUlGb0ltSUJzQmJjVnhSRk8rcG9WYk5zcFg2cU5nWEFPK3AvbXJybzlLeUZZY1Zsd1V3cUpaVkRBY3dYbFhWOGVIaDRhVm1zem5wMUtzWERlSFdXMjhGQU96WnM2Zkt0SktTRW9TRi9mSDhqbnZ1dVFmTGx5L1hmWnNob3ZwaE9GZXdjT0ZDSkNRa1lQMzY5Zmp5eXkveHhCTlA0TGZmZnF0MHlLOXo1ODVZdW5RcEhuamdBYnp5eWl0NDRva25BSlRkOWhRY0hBeVBwK3c2bytUa1pBd2ZQaHpmZlBNTnNyT3pNWFhxMUVyaDdQVjZFUm9hNmp0OHJXa2FMcnZzTW9TRWhLQmp4NDdJenM3R3ZuMzcwTGR2WDF4d3dRVUFnQjA3ZHVEU1N5LzFqWi91MTE5L3hVOC8vZVNidDdHSmlLcVVDUUwrK01kSXhTTUlweDlOT0gyZXN4MVcxMTlEK3FycEtFY3Q2OW9XQm5vbjhzYU5HN0ZpeFFwMDc5NGRRNFlNcVRRdFBqNGV5Y25KTUpsTWxkcjEzbWFJcUg0WXpoVTg4Y1FUK1BPZi80dy8vL25QYU5PbURSNTU1QkZjZi8zMUZSOHRDQUJvMTY0ZEZpOWVESWZqajlPVEJRVUZpSWlJUUVsSkNRQmcrL2J0ZVBYVlYxRlVWSVJwMDZaVkNXZTczVjdwY1pDbHBhVytQWi91M2J0ano1NDlXTEprQ2ViUG4xK2x6dmZmZjcvYStwdDZ6OGRxdGFvb2U1T1oycTlmUDVQZGJsZmJ0V3VuRmhjWG15SWlJbFNYeTZVNm5VNVRpeFl0MU9EZ1lKUEg0MUc5WHE4YUZCUms4bnE5cXNsa01tbWFwcHBNSnRPcGR0WHI5WnBNSnBPcWFacXFxcXFwZkNnaXZtbXFxcXFhcHBsT0JXYWxZZmswVlZYVjhuWk4wMHdBVkVWUmZQT2RtalpTVVpRaFoxakZFZ0RKQVBaNXZkNmtsSlNVTFFCZ3NWZ1dOT2tYZTVZOEhnOVdybHhaNVREMTJkQnJteUdpK21FNFYzREZGVmRVK25uaHdvVzQ1NTU3cXAwM0tpcktkMkZZV0ZnWWZ2dnROOFRFeE1Ca01pRTVPUm0vL1BJTGJydnROaFFWRmNIaGNDQTNOeGR1dDlzWHp1V0h1c3NWRmhiNnd2cmlpeS9Hd29VTE1XellNUFRyMTgrM1YxNnUvTUt6MHpYVFEwc0VnTmRtczNrQklDTWpvemsrczFHWXplYXVBSVpVYkJNUnU2SW9XelJOVyt0MnU5ZmFiTFppZmFxcjNZa1RKK0QxZWpGaHdnUmZXM0h4SCtYZWVPT05sZVpmdTNhdDd4WS9uYmNaSXFvamhuTTFTa3RMTVh2MmJJd2FOUXE5ZXRYK2twelBQdnNNTTJmT3hJRURCekJ0MmpSRVJVWGhpU2VlUVB2MjdSRVZGWVd2di80YXg0OGZoOHZsOG9Yc2dRTUgwS05IRDdoY0xvU0VoQ0FsSlFXZE9uVUNVSFpSbU12bDhsMllscGlZaU91dnZ4NlhYMzc1R2V2bzBLRUQ3cjc3N2hyM2tzaW5FTUFtRWZubytQSGpueDQ5ZXJSRTc0TE9Sc2VPSGJGeDQwYmYrSWNmZm9obHk1Wmh3WUlGdU91dXUvRGxsMTlXT2F4ZEcyNHpSTWJFY0Q1TlNVa0pIbi84Y1poTUpreWJOdTJzbG5uLy9mZVJucDZPeFlzWDQ3Nzc3c09MTDc2SWtTTkgrcTY0N3RldkgvNzN2LytoVFpzMnZuT2YvL3ZmL3pCZ3dBQTg5ZFJUMkw1OU8xcTBhSUhubjM4ZWh3NGR3dXV2djQ1Ky9mcmhtMisrd2MwMzM0enM3R3kwYnQyNjB1ZlZoSWNwejJpSHBtbWozRzczQnB2TjV0SzdtUHJhdTNjdjVzMmJCNmZUaVNWTGxsUjgzV0tOdU0wUStSZUdjd1dIRGgzQ3JGbXpZREtac0dEQmdpcFBBcXZPZi83ekg2eGZ2eDV2dlBFRzJyZHZqMW16WnZrT1hTOVlzQUFmZmZRUmdvS0NFQndjN0x0NHJMQ3dFTnUyYmNQVXFWTXhac3dZZUR3ZUJBVUZJU3NyQzVNblQ4YkREeitNZnYzNlllclVxZWpldlRzT0hEaUEyTmhZMzJlZTZRbE9QRXhaTTZ2VnVsYnZHdW9yUHo4Zlc3ZHV4UmRmZklFalI0NWcwcVJKR0RGaUJJS0RnNUdabVltZ29LQXozcWJIYlliSXZ6Q2NLeWdvS0VEZnZuM3grT09QVjdvdDVVeHV1ZVVXakI0OTJ2ZXdrWXFIbmg5NTVCRTg4c2dqdmozb2NnY1BIc1IxMTEySHRtM2JBb0F2ekhOemN6RjI3RmlNR0RFQ0FEQmp4Z3c4OGNRVHVPcXFxM3o5MzNYWFhYajAwVWRyckdmaHdvVjFXR1B5RjNsNWVVaE9Uc2FZTVdNd2RPaFFCQWNIWSt2V3JVaElTSUNxcWhnOWVuU05WNlJ6bXlIeVAzVzd2OFJnTEJhTEFLanlsQzEvNFBWNjYzeCtVQy94OGZFQWdKMDdkL3IxOWxKZi9yeWQrWk56ZlRzanFvaHZwZEtKdndRekVSRTFQMzhQWndkUStYWVNhbHdWN3VVdTFiTU9uWEU3YTJMY3pvZ3E4K3R3RmhFYlVQWk1ZR29hV1ZsWkFBQVJPYWh6S2JyaGR0YjB1SjBSVmViWDRReGdLUURNbVRNSHFhbXBzTnZ0ZXRjVE1Cd09CdzRjT0lDNWMrZVdONjNSc3g2ZGNUdHJJdHpPaUtybjd4ZGVCSnZONWk4VVJSbXFkeUVCN2dlbjB6bkluKzhOYmlCdVo4M2pYTi9PaUh6OC9hb2tMVHM3ZTJWMGRMUkRVWlFPQUNJQkJOZTJFSjJWVWhIWkQrQk5sOHMxNlJ6L2c4bnRyT2x3T3lNaW9uT0R4V0tSOGx2QWlNai8rUHM1WnlJaW9vRERjQ1lpSWpJWWhqTVJFWkhCTUp5SmlJZ01odUZNUkVSa01BeG5JaUlpZzJFNEV4RVJHUXpEbVlpSXlHQVl6a1JFUkFiRGNDWWlJaklZaGpNUkVaSEJNSnlKaUlnTWh1Rk1SRVJrTUF4bklpSWlnMkU0RXhFUkdRekRtWWlJeUdBWXprUkVSQWJEY0NZaUlqSVloak1SRVpIQk1KeUppSWdNaHVGTVJFUmtNQXhuSWlJaWcyRTRFeEVSR1F6RG1ZaUl5R0FZemtSRVJBYkRjQ1lpSWpJWWhqTVJFWkhCS0hvWFFFUU5aemFiaHdJWVZqNnVLTXAwQUJDUmx5dk10c05xdGE1dDd0cUlxTzZDOUM2QWlCcUZwenlRSzZyWTV2VjZSemR2U1VSVVh6eXNUUlFBckZicmR5S1NkNFpaQ2owZXorZk5WaEFSTlFqRG1TZ3dlQUNzT3NQMFRUYWJ6ZFZjeFJCUnd6Q2NpUUxIdXBvbWlNaEh6VmtJRVRVTXc1a29RQlFWRlcwSFVIaDZ1NGpZOC9QelA5R2hKQ0txSjRZelVZQklTMHR6aXNpYTA5c1ZSZG1Ta1pGUnFrZE5SRlEvREdlaUFDSWlWVzZWMGpTTnQwOFIrUm1HTTFFQXljM04zUWJBWHFHcHhPMTJNNXlKL0F6RG1TaUFaR1ptT2dCVVBMK2NiTFBaaXZXcWg0anFoK0ZNRkdBMFRhdDQzcGtYZ2hINUlZWXpVWUFwS1NuWkRLQlVSRnh1dDN1MTN2VVFVZDB4bklrQ1RHcHFhcEdJSkNtSzh1MmVQWHZ5OWE2SGlPcU96OVltQ2tBaXNocEF0TjUxRUZIOThLMVVSR2NueUdLeFRCQ1J2d01Zb0NoS3VONEZCUWlIaU5nQUxMVmFyVXNBdVBVdWlNZ0lHTTVFdFF1eVdDeXJBWXpTdTVCQUppS2JyVmJyTURDZ2lSak9STFd4V0N6M0FsZ2FHeHVMaElRRXhNWEZvVldyVm5xWEZSQ0tpNHVSbnA2T09YUG1ZTy9ldlJDUldWYXI5VVc5NnlMU0d5OElJNnJGcVVQWlNFaElnTmxzWmpBM29vaUlDUFR2M3g5UFBmVVVBRUJSbEhFNmwwUmtDQXhub3RvTkFJQzR1RGk5NndoWVhicDBLZit4bDU1MUVCa0Z3NW1vRnVVWGYzR1B1ZW1FaC91dXJ3dlRzdzRpbzJBNEV4RVJHUXpEbVlpSXlHQVl6a1FCVHRNMHZVc2dvanBpT0JQNW1Za1RKMVlhdi8zMjI4OFl3TU9IRDYrMlBUNCtIbDZ2dDFGckk2TEd3WEFtOGpPLy9mWmJwZkdqUjQ5Q1ZhditLaWNtSmxZYS8venp6N0Y4K2ZLbUxPMmNaemFiaDVyTjVzSHcwMGNqaDRXRlhXNnhXQ1F1TG01RFRkTUF0R2pneHlqdDJyWDdhKy9ldmI4Wk1HQkFnZGxzOXZUdjN6KzdaOCtlU2ZEVDc2MHA4SXNnOGdPN2QrOUdRa0lDQU1EbGNtSEVpQkg0MjkvK2hqZmVlQU11bHd2WFhYY2RBTUR0ZG1QRGhnMW8yYklsaW91TGtaS1NBcURzMFBheVpjdncwRU1QNmJZTzU0aGhpcUpNTjV2TmVRQldBVmhYVkZTMFBTMHR6YWwzWVhVUkVSSHhsM2J0MmswOGNlTEV1NDNjZFZDUEhqMVdoNGFHeGg0N2RteDJZV0hoZGdEdThQRHd2bTNhdEJrUDdqRDZNSnlKL01DQUFRT1FsSlFFQUJnNGNLRHY1K0hEaCtPR0cyN0F4bzBiQVFCWFgzMDFnb0xLZnExdnVPRUdmUG5sbHdDQWpSczNvbTNidGhneVpFaWxmZ2NQSHV6NythR0hIc0xZc1dPYmVsWE9DWXFpdEFVd0JjQ1V5TWpJUXJQWnZFWkUxdWJtNW03THpNeDA2RjFmYmJLeXNoSTdkKzc4eW9rVEo3NENrTk5ZL2NiRXhQd3pORFEwYnQrK2ZRTUIyTXZiN1hiN0xydmR2cXV4UGljUU1KeUovSWpMNVlMWDY4VzhlZk53M25ubndlMTI0N3p6enF0MjNpdXV1QUtYWEhJSnRtN2RpcUZEaCtLU1N5NnBNazl5Y2pKTUpsTlRsMzJ1aTFRVVpaS2lLSk9pbzZQdDBkSFJuMmlhdHFha3BHUnphbXBxa2Q3RlZTY25KK2UxMXExYjM5U2pSNC9YRHg0OGVGc2pkUnZjdm4zN2FZY09IYm9YRllLWnFzZHdKdklEdTNmdnhzc3Z2NHowOUhTSUNPTGo0OUduVHgvTW1ERURIbzhIbVptWmlJbUpRVWhJQ0Z3dUY0cUxpM0h2dmZkQzB6VGs1dVppekpneEFJQng0OFlaZnUvWVlyRjRBSWlJZUJWRjBhb1phb3FpZUU4ZkF0QUFWQmtIVU9NeU5Rd3JmU1lBMzdUeS9zNHc3NkJhVmk4Y3dIaFZWY2VIaDRlWG1zM21wRk92OTl5NGE5ZXVrMDMycGRhZGR1alFvVWw5K3ZUWjNicDE2ekVGQlFWckc5cGhTRWhJbk1sa2FuM3k1TW52RzZQQVFNZHdKdklETVRFeGVPU1JSM0RSUlJkaDhPREJ2c1BSUVVGQjZOMjdOOGFPSFlzRkN4WWdNaklTQlFVRmVQamhoL0gyMjI4akxTME5Eei84TUQ3OTlGT2QxK0RzaVlpcWxBa0NBRVVwZXo5UGJjTnlwNC9YcFk4ejlWM1Q1OVJVeDFtdVoxc0EwYXFxR3U1dnNkUHAzSitWbGZWMHQyN2RYdCt6WjgvV2h2WVhIQndjZXVwSDN5MENIVHAwZUx4TGx5NHZsWS92M0xrekRFQnBRejhyRUJodWd5Q2lxdHEwYVlPMmJkdmk1TW1UQ0E0T0JnQ3NXclVLSnBNSi8vNzN2Mkd6MmRDN2QyL0V4Y1VoT1RrWnYvLytPenAwNklDWFhub0pJU0VobUQ5L1BpWk9uSWkyYmR2aWtrc3VRZWZPbmRHbFN4ZU1IajBhQUpDYm00c2RPM2JvdVlvK1ZxdFZSZGtiODlSKy9mcVo3SGE3R2hrWmFYSTZuV3BFUklSYVdscHFjcnZkYWtoSWlDazBORlIxdTkwbXI5ZXJta3dtazZacHZtRlFVSkNxcXFwSjB6VFY2L1dhVENhVGI2aHBta2xWVmQ5UVJIenpsZzlGeEtTcXFxb29pdWxVa0pZUFZSRTV2YTE4T0ZKUmxDRm5XTDBTQU1rQTlubTkzcVNVbEpRdHpmR2QxbGR1YnU2OHFLaW9NZDI3ZDUrZm01djdSa1A2c3R2dEdRQzBpSWlJaTRxTGk3ZWQ2bjl1Ym03dTNMQ3dzTXY3OXUxcmpBM1FJQmpPUkg3ZzJMRmpHRGR1SEVKQ1FqQjI3RmhzMjdZTnExYXR3dHR2dncwQTZOZXZId0RncnJ2dXdqLys4US9jZU9PTitPMjMzK0R4ZUJBVkZZVytmZnRpMHFSSmVPbWxseEFjSEZ4bFQzcmd3SUhOdms2MUVBQmVtODNtVnpkaW04M21yZ0NHVkd3VEVidWlLRnMwVFZ2cmRydlgybXkyWW4ycXF4Y3RJeVBqM3I1OSsxcWRUdWVCQnZaMTh1VEprNTkzN05oeFJuazRVODBZemtSK29IdjM3dmorKysveDNYZmZvWC8vL3NqUHo4ZlNwVXNSRlJXRjlQUjBuSGZlZVdqVnFoVVVSY0gwNmRNeGN1UklUSjQ4R2RPbVRjUE1tVE54d3cwM29GZXZYb2lKaWRGN1ZjNFZoUUEyaWNoSHg0OGYvL1RvMGFNbGVoZFVYeTZYNjllY25KeG5vNk9qbjZuWUhoWVcxcldrcE9SSVhmckt5c3A2S0M0dTdyc2VQWHFzeTg3T2Z0N2hjTmdBUkVSR1JocnVYNGQ2NHoxbFJINGlOVFVWVHo3NUpFcExTL0hkZDk4aE9Ua1pBUEQxMTEvanpUZmZCQUMwYjk4ZXI3LytPbzRjT1lKYmI3MFYvZnYzOXkzZm8wY1B0R2pSME9kSFVDMTJhSm8yeXVsMHR0KzVjK2NZcTlYNm9UOEhjN25zN095NUpTVWxleW8wdGVqUm84ZldqaDA3enFwTFB5VWxKWWYzN05semlkdnRQdGFqUjQ5UHpHYXpmY0NBQVJsUlVWRmpzN0t5bmdMZ2F0ektpU2hnV1N3V3NWZ3NvcWZTMGxLNS9mYmJaZG15WlNJaTh2dnZ2OHVvVWFQRTYvVktVVkdSREJreVJJNGVQU29pSWl0V3JKREhIbnZNdCt5Tk45NVlxYS80K0hnWk5XcFVwZjh1di96eVpsdVhtcFIvejNyLy82YXowN0pseTVnTEw3eHdiOFVMdW9pSW1vMFJ3cm1nb0VEZWYvOTk4WGc4dnJhVWxCVFJORTFFUkE0ZlB1ejcyZWwwU2s1T2ptKytqei8rdUZKZjc3NzdicFgrcTJ0cmJneG52OVFwUER6OFdyMkxDRVIxdS9hZjZCeFVIaGcvLy95ejNxVUV0UGo0ZUFEQXpwMDcrWGVKem5rODUweEVSR1F3REdlaTJqa0FvTGpZbis2QThTOE9oKzl4MDN3QUJSRVl6a1MxRWhFYkFLU25wK3RkU3NES3lzb0NBSWpJUVoxTElUSUVoak5SN1pZQ3dKdzVjNUNhbWdxN25jL3NieXdPaHdNSERoekEzTGx6eTV2VzZGa1BrVkh3d2d1aTJnV2J6ZVl2RkVVWnFuY2hBZTRIcDlNNXlHYXo4VjVYT3VmeFhYRkV0ZE95czdOWFJrZEhPeFJGNlFBZ0VrQ3cza1VGaUZJUjJRL2dUWmZMTlluQlRFUkVBWXYzREJQNU41NXpKaUlpTWhpR014RVJrY0V3bkltSWlBeUc0VXhFUkdRd0RHY2lJaUtEWVRnVEVSRVpETU9aaUlqSVlCak9SRVJFQnNOd0ppSWlNaGlHTXhFUmtjRXduSW1JaUF5RzRVeEVSR1F3REdjaUlpS0RZVGdURVJFWkRNT1ppSWpJWUJqT1JFUkVCc053SmlJaU1oaUdNeEVSa2NFd25JbUlpQXlHNFV4RVJHUXdER2NpSWlLRFlUZ1RFUkVaRE1PWmlJaklZQmpPUkVSRUJzTndKaUlpTWhpR014RVJrY0V3bkltSWlBeEcwYnNBSW1vNHM5azhGTUN3OG5GRlVhWURnSWk4WEdHMkhWYXJkVzF6MTBaRWRSZWtkd0ZFMUNnODVZRmNVY1UycjljN3VubExJcUw2NG1GdG9nQmd0VnEvRTVHOE04eFM2UEY0UG0rMmdvaW9RUmpPUklIQkEyRFZHYVp2c3Rsc3J1WXFob2dhaHVGTUZEalcxVFJCUkQ1cXprS0lxR0VZemtRQm9xaW9hRHVBd3RQYlJjU2VuNS8vaVE0bEVWRTlNWnlKQWtSYVdwcFRSTmFjM3E0b3lwYU1qSXhTUFdvaW92cGhPQk1GRUJHcGNxdVVwbW04ZllySXp6Q2NpUUpJYm03dU5nRDJDazBsYnJlYjRVemtaeGpPUkFFa016UFRBYURpK2VWa204MVdyRmM5UkZRL0RHZWlBS05wV3NYenpyd1FqTWdQTVp5SkFreEpTY2xtQUtVaTRuSzczYXYxcm9lSTZvN2hUQlJnVWxOVGkwUWtTVkdVYi9mczJaT3ZkejFFVkhkOHRqWlJBQktSMVFDaTlhNkRpT3FIYjZVaU9qdEJGb3RsZ29qOEhjQUFSVkhDOVM0b1FEaEV4QVpncWRWcVhRTEFyWGRCUkViQWNDYXFYWkRGWWxrTllKVGVoUVF5RWRsc3RWcUhnUUZOeEhBbXFvM0ZZcmtYd05MWTJGZ2tKQ1FnTGk0T3JWcTEwcnVzZ0ZCY1hJejA5SFRNbVRNSGUvZnVoWWpNc2xxdEwrcGRGNUhlZUVFWVVTMU9IY3BHUWtJQ3pHWXpnN2tSUlVSRW9ILy8vbmpxcWFjQUFJcWlqTk81SkNKRFlEZ1QxVzRBQU1URnhlbGRSOERxMHFWTCtZKzk5S3lEeUNnWXprUzFLTC80aTN2TVRTYzgzSGQ5WFppZWRSQVpCY09aaUlqSVlCak9SRVJFQnNOd0ppSWlNaGlHTXhFUmtjSHc4WjFFZmlJK1BoNFJFUkUxVGk4dUxzYU9IVHNRRWhMaWExdTRjQ0grODUvL25GWC9PM2JzYUhDTjV6cXoyVHdVZ01kcXRYNEh3S04zUGMxSWFkZXUzY1IyN2RyOUxTd3NiSUNxcXVFZWorZDNoOFB4MDRFREIwYmkzUG91R2dYRG1jaVBiTnk0RVpxbW9VV0xGcjQycTlXS0FRTUc0TkpMTDYweS85U3BVekYxNnRSS2JmSHg4VmkvZmoxaVltS2F2TjV6MERCRlVhYWJ6ZVk4QUtzQXJDc3FLdHFlbHBibTFMdXdKaFRVbzBlUDFhR2hvYkhIamgyYlhWaFl1QjJBT3p3OHZHK2JObTNHZzBkbzY0VmZHcEVmc2R2dHVQUE9PNUdibXdzQTJMZHZIeElURTNXdWlrNm5LRXBiUlZHbUtJcXlNVEl5TXRkc05pLzUwNS8rZEZOTVRFeEx2V3RyYkRFeE1mOE1EUTJOMjdkdjMxV0ZoWVZmQUNnRzRMVGI3YnVPSGowNkE0Qkw1eEw5RXNPWnlJK0VoNGZqN3J2dnhyUFBQZ3NSd2Z6NTgzSC8vZmREVmZtcmJHQ1JpcUpNVWxYMTgram82RnlMeGZMK24vNzBwNUVYWEhCQklOdzRIOXkrZmZ0cFdWbFp6d0N3NjExTUlPRmhiU0kvYy92dHQyUGJ0bTE0OU5GSDRmRjRNSFRvVUwxTGFsUVdpOFVEUUVURXF5aUtWczFRVXhURmUvb1FnQWFneWppQUdwZXBZVmpwTXdINHBwWDNkNFo1QjlXeWV1RUF4cXVxT2o0OFBMelViRFlublhxOTU4WmR1M2FkYkxJdnRZbUVoSVRFbVV5bTFpZFBudnhlNzFvQ0RjT1p5QTk0UEdYWDB3UUZsZjNLUHY3NDQ3anR0dHZ3OHNzdjE3aE1ZbUlpUHZ2c3MycW5qUjQ5R29wUzliMDNScmdvVEVSVXBVd1FBRitkdFEzTFZiZGVaOXZIbWZxdTZYTnFxdU1zMTdNdGdHaFZWZjN5YjNGd2NIRG9xUis5NVcwZE9uUjR2RXVYTGkrVmorL2N1VE1NUUdsejErYnYvSEtESURyWE9Cd09oSVNFK0E1ZnIxaXhBdjM2OWNPeVpjc3dhTkNnYWc5cno1bzFDN05temFyU0hoOGZqM1hyMWhuMmdqQ3IxYXFpN0kxNWFyOSsvVXgydTEyTmpJdzBPWjFPTlNJaXVXNHQyZ0FBRlBsSlJFRlVRaTB0TFRXNTNXNDFKQ1RFRkJvYXFycmRicFBYNjFWTkpwTkowelRmTUNnb1NGVlYxYVJwbXVyMWVrMG1rOGszMURUTnBLcXFieWdpdm5uTGh5SmlVbFZWVlJURmRDcEl5NGVxaUp6ZVZqNGNxU2pLa0RPc1hnbUFaQUQ3dkY1dlVrcEt5cGJtK0U2Yml0MXV6d0NnUlVSRVhGUmNYTHdOQUhKemMrZm01dWJPRFFzTHU3eHYzNzc2LzJ2UFR6R2NpZnhBVGs0TzJyVnJCd0RZdW5Vcjl1N2RpL2ZmZngrUFAvNDRWcXhZZ1h2dnZSZXFxc0xyOVNJNU9SbURCZzJxODU2Y3dRZ0FyODFtODlZNnA0R1l6ZWF1QUlaVWJCTVJ1NklvV3pSTlcrdDJ1OWZhYkxaaWZhcHJFaWRQbmp6NS85dTcyK0NvNmtPUDQ3K3ptMDBLaEZpTGtnd05uWUx4aGVQMU1ydGhyS1J0cER6NDBLSWl0VThXNzR4Y1dva2p6akJjY1NUZ1RFc1ZtMkk3V2tiNm9yV2pZS3RVRVVzaUhYd1lLWGl4VkZnMFhaellrSUFKU1FoM0pJKzdtMnoyL084THpKb1FrZzBoeVRtN2ZEOXZkdmQvL3J2NzJ3RDVjZlk4VmVUbTVqN1VXODRZSGV4RkFxU0FEejc0UURObXpGQmRYWjAyYnR5b3h4NTdUSm1abVNvdExkVzJiZHRVVTFPajdPeHN0YlcxYWYzNjlhbGV6T21nVGRJT1k4eVBUcDgrZmVYaHc0ZHZQM0xreUhOcFZzeVNwTWJHeGdjbVRwejRuek5uenR3eGNlSkV2NlJNU1YvS3ljbVo0M1MyVk1hYU01QUNLaW9xZFBQTk4rdmd3WU5hdVhLbHJyNzY3SlVWYzNOejlkQkRENm1ycTB2NStmbmF2MysvcnJqaUNvZlRYdElPMkxaOVp5d1dlejBVQ2wwU2h4QkZJcEZQS2lzclowK2ZQbjNkekpremQvcDh2bW0yYlVlaTBlaEhqWTJONjhTaFZDTkNPUU11MTl6Y3JJYUdCaTFhdE9pOFp3aTc1WlpiSkVsMzNYV1hmdjd6bjJ2cDBxWGpIUkdmQ1FhRHJ6aWR3U0duNnVycVZ0YlYxYTFNUGhYRFFUa0RMamQxNmxTOTlOSkxRNTY2VTVMdXVPTU9GUlVWSmJaTkQyYng0c1Y5cjU4TXdJVW9aeUFGZlBHTFh4eld2Q3V2dkRMcG5QWHIxMTlzSEFCampCM0NBQUJ3R2NvWlNDNHNuYjNxRThaR09CenV2Y3ZKS2dCUnprQlN4cGlRSk5YVzFqb2RKVzAxTmpaS2tvd3hOUTVIQVZ5QmNnYVNlMWFTeXNyS1ZGVlZwYzVPenU4L1dzTGhzSTRkTzZaTm16YjFEcjNzWkI3QUxUaFRBWkNjeisvMzc3WXNLNzJ1TU9FKy8ranE2aXErVkk0UEJvYmlkVG9Ba0FMc3BxYW1QK2ZsNVlVdHk1b3FLVWVTeitsUWFTSnFqUGxZMHBidTd1NWxGRE1BSUcwRkFnRVRDQVNNMHprQWpBemJuQUVBY0JuS0dRQUFsNkdjQVFCd0djb1pBQUNYb1p3QkFIQVp5aGtBQUplaG5BRUFjQm5LR1FBQWw2R2NBUUJ3R2NvWkFBQ1hvWndCQUhBWnloa0FBSmVobkFFQWNCbktHUUFBbDZHY0FRQndHY29aQUFDWG9ad0JBSEFaeWhrQUFKZWhuQUVBY0JuS0dRQUFsNkdjQVFCd0djb1pBQUNYb1p3QkFIQVp5aGtBQUplaG5BRUFjQm5LR1FBQWw2R2NBUUJ3R2N2cEFBQXVudC92bnkvcDF0N0hsbVd0bGlSanpKTjlwaDBJQm9PdmpIYzJBQmN1dytrQUFFWkZUMjhoOTlWM0xCNlBMeG5mU0FCR2lxKzFnVFFRREFiZk5jWjhPc1NVdHA2ZW5vcHhDd1Rnb2xET1FIcm9rZlRTRU12ZkRJVkMzZU1WQnNERm9aeUI5TEZqc0FYR21MK01aeEFBRjRkeUJ0SkVlM3Y3UGtsdDU0NGJZenJQbkRtejA0RklBRWFJY2diU1JIVjFkWmN4NXVWenh5M0xldnY0OGVOUkp6SUJHQm5LR1VnanhwZ0JoMHJadHMzaFUwQ0tvWnlCTk5MYzNQeU9wTTQrUTVGWUxFWTVBeW1HY2diU1NFTkRRMWhTMyszTGUwT2hVSWRUZVFDTURPVU1wQm5idHZ0dWQyWkhNQ0FGVWM1QW1vbEVJbTlKaWhwanVtT3gySGFuOHdDNGNKUXprR2FxcXFyYWpUSGxsbVh0cjZ5c1BPTjBIZ0FYam5OckEybklHTE5kVXA3VE9RQ01ERmVsQW9Zbkl4QUkzR09NV1M1cGxtVlprNXdPbENiQ3hwaVFwR2VEd2VBZkpNV2NEZ1M0QWVVTUpKY1JDQVMyUzdyVDZTRHB6Qmp6VmpBWXZGVVVORUE1QThrRUFvRjdKVDA3WThZTWxaYVdxcUNnUUpNblQzWTZWbHJvNk9oUWJXMnR5c3JLZFBUb1VSbGpIZ2tHZzA4NG5RdHdHanVFQVVsODlsVzJTa3RMNWZmN0tlWlJsSjJkcmV1dXUwN3IxcTJUSkZtVzlTT0hJd0d1UURrRHljMlNwSUtDQXFkenBLMzgvUHpldTFjN21RTndDOG9aU0tKMzV5L1dtTWZPcEVtSi9lc21PSmtEY0F2S0dRQUFsNkdjQVFCd0djb1pBQUNYNFF4aFFJcUl4K09xcnE3V2tTTkg5UDc3NzZ1cXFrcmJ0bTFUVGs3T3NGOWp6NTQ5cXEydDFYMzMzVGVHU1FGY0xNb1pTQUcyYmV1YjMveW1DZ29LZE8yMTEycmV2SGxhdlhxMXZ2Q0ZMNml3c0hEQS9IMzc5bW5peElrRHhtZlBucTFmL3ZLWHV1R0dHelJyMXF6eGlINUo4ZnY5OHlYMUJJUEJkeVgxT0oxbkhGbFRwa3o1cnlsVHB2ejNoQWtUWm5rOG5razlQVDMvRnc2SDN6OTI3TmhpWFZvL2kxRkJPUU1wd0JpanJxNHUvZkdQZjVUWDYwMk1kM2QzUzVJT0hUcVVHT3N0YTl1MnRXREJnZ0d2RlkxR3RXclZxdk8rejl0dnZ6MmFzUzlGdDFxV3RkcnY5MzhxNlNWSk85cmIyL2RWVjFkM09SMXNER1hNbkRsemUxWlcxb3lUSjArdWJXdHIyeWNwTm1uU3BHc3V2L3p5SDR2TnB5TkNPUU5weWhpajF0Yldmc1U5bUhnOHJ1dXZ2MzRjVWwwYUxNdjZrcVFTU1NVNU9UbHRmci8vWldQTUs4M056ZTgwTkRTRW5jNDNtcVpObS9ab1ZsWld3VWNmZlRSSFVtZnZlR2RuNTVIT3pzNGpEa1pMYVpRemtLWXN5OUpOTjkwa1NabzNiOTZnOCtiTW1hTU5HellrNW1MVTVWaVd0Y3l5ckdWNWVYbWRlWGw1TzIzYmZqa1NpYnhWVlZYVjduUzRpK1M3OHNvckh6eHg0c1M5NmxQTXVIaVVNNUJDYnJ6eHhzVDkvUHg4UGYvODg0UE85WGc4MnJoeG82U0JYMWMzTmpacS9mcjFhbXBxMHBJbFMvck5kVm9nRU9pUlpJd3hjY3V5N1BQYzJwWmx4Yys5bFdSTEd2QlkwcURQR2VTMjMzdEtTaXpyZmIwaDVoWW4rWGlUSlAzWTQvSDhlTktrU1ZHLzMxLysyZVU5M3poeTVFakxtUDFReDBobVptYUIxK3U5cktXbDVYK2R6cEp1S0djZ2hlemR1L2U4MjV3dlJFVkZoY3JLeW5UenpUZnI2YWVmUHUrT1kwNHl4bmlzc3pLa3M5OEFET2UyMTdtUEwrUTFobnJ0d2Q1bnNCekQvSnhma3BUbjhYaFM4bmV4eitmTCt1eHV2SGRzNnRTcC81T2ZuLytyM3NlSER4K2VJQ2s2M3RsU1hVcitoUUF3Y284KytxaCsrOXZmcXFpb3lPa281eFVNQmowNmU4VTh6N1hYWHV2dDdPejA1T1RrZUx1NnVqeloyZG1lYURUcWpjVmluc3pNVEc5V1ZwWW5Gb3Q1NC9HNHgrdjFlbTNiVHR4bVpHUjRQQjZQMTdadFR6d2U5M3E5M3NTdGJkdGVqOGVUdURYR0pPYjIzaHBqdkI2UHgyTlpsdmV6SXUyOTlSaGp6aDNydlYxc1dkYmNJVDVlUk5KZVNSL0Y0L0h5RHovOE1LWDN3T3ZzN0R3dXljN096djZQam82T2R5U3B1Ymw1VTNOejg2WUpFeWJjY00wMTF4eHdOR0FLbzV5QkZOWFRNL1RSS1Z1MmJOR0xMNzU0M21XUFBQTEllY2YzN3QxNzBibEdpWkVVRDRWQzhhUXpYY1R2OTArWE5MZnZtREdtMDdLc3QyM2JmaVVXaTcwU0NvVTZuRWszSmxwYVdsb3Fjbk56SCtvdFo0d095aGxJTWFGUVNPWGw1WHJ6elRmMTJtdXZTWkxhMnRvVWlVUjA2dFFwZVR3ZVpXVmxxYVNrUkNVbEpRT2VYMWhZcU4yN2Q3dnU2K3cwMHlicFRXUE1YMDZmUHYxYWZYMTl4T2xBWTZXeHNmR0Jnb0tDZDJmT25MbWpxYWxwUXpnY0Rrbkt6c25KbWVOMHRsUkdPUU1wb0tHaFFaSjAxMTEzeWVmenFiaTRXR1ZsWmZKNHpoNUNldmp3WWExZXZWcGVyMWZmL2U1MysyMlh4cmc2WU52Mm5iRlk3UFZRS0hUaE93U2tvRWdrOGtsbFplWHM2ZE9ucjVzNWMrWk9uODgzemJidFNEUWEvYWl4c1hHZHBFdmk1ekRhS0djZ0JXUm1abXI1OHVWYXRHaVJwaytmbmhqdjNTRnM3dHk1UXg3UEhJL0hGWTFHMWRiV0pzdXk1UFA1eGp6enBTZ1lETDdpZEFhSG5LcXJxMXRaVjFlMzB1a2c2WUp5QmxKQWJtN3VlYitpOW5xOSt1bFBmNXIwK1cxdGJWcXdZSUVzeTlMQ2hRc3BaOERsS0djZ2hYbTkzbUZkeE9MeXl5L1hQLy81VDBsS2ZCVU93TDBvWitBU1FTa0RxWU4vclVCeVlVbnE2RWluSTJEY0pSeE9uRzZhazFVQW9weUJwSXd4SVVtcXJhMTFPa3JhYW14c2xDUVpZMm9jamdLNEF1VU1KUGVzSkpXVmxhbXFxa3Fkblp6ZmY3U0V3MkVkTzNaTW16WnQ2aDE2MmNrOGdGdGMyTWxnZ1V1VHorLzM3N1lzYTc3VFFkTGNQN3E2dW9vdmxlT0RnYUZ3cGdJZ09idXBxZW5QZVhsNVljdXlwa3JLa2NTeFNLTWphb3o1V05LVzd1N3VaUlF6QUNCdEJRSUJFd2dFak5NNUFJd00yNXdCQUhBWnloa0FBSmVobkFFQWNCbktHUUFBbDZHY0FRQndHY29aQUFDWG9ad0JBSEFaeWhrQUFKZWhuQUVBY0JuS0dRQUFsNkdjQVFCd0djb1pBQUNYb1p3QkFIQVp5aGtBQUplaG5BRUFjQm5LR1FBQWw2R2NBUUJ3R2NvWkFBQ1hvWndCQUhBWnloa0FBSmVobkFFQWNCbktHUUFBbDZHY0FRQndHY29aQUFDWG9ad0JBSEFaeWhrQUFKZWhuQUVBY0JuTDZRQUFMcDdmNzU4djZkYmV4NVpsclpZa1k4eVRmYVlkQ0FhRHI0eDNOZ0FYTHNQcEFBQkdSVTl2SWZmVmR5d2VqeThaMzBnQVJvcXZ0WUUwRUF3RzN6WEdmRHJFbExhZW5wNktjUXNFNEtKUXprQjY2SkgwMGhETDN3eUZRdDNqRlFiQXhhR2NnZlN4WTdBRnhwaS9qR2NRQUJlSGNnYlNSSHQ3K3o1SmJlZU9HMk02ejV3NXM5T0JTQUJHaUhJRzBrUjFkWFdYTWVibGM4Y3R5M3I3K1BIalVTY3lBUmdaeWhsSUk4YVlBWWRLMmJiTjRWTkFpcUdjZ1RUUzNOejhqcVRPUGtPUldDeEdPUU1waG5JRzBraERRME5ZVXQvdHkzdERvVkNIVTNrQWpBemxES1FaMjdiN2JuZG1SekFnQlZIT1FKcUpSQ0p2U1lvYVk3cGpzZGgycC9NQXVIQ1VNNUJtcXFxcTJvMHg1WlpsN2Erc3JEempkQjRBRjQ1emF3TnB5Qml6WFZLZTB6a0FqQXhYcFFLR0p5TVFDTnhqakZrdWFaWmxXWk9jRHBRbXdzYVlrS1JuZzhIZ0h5VEZuQTRFdUFIbERDU1hFUWdFdGt1NjAra2c2Y3dZODFZd0dMeFZGRFJBT1FQSkJBS0JleVU5TzJQR0RKV1dscXFnb0VDVEowOTJPbFphNk9qb1VHMXRyY3JLeW5UMDZGRVpZeDRKQm9OUE9KMExjQm83aEFGSmZQWlZ0a3BMUytYMyt5bm1VWlNkbmEzcnJydE82OWF0a3lSWmx2VWpoeU1CcmtBNUE4bk5rcVNDZ2dLbmM2U3QvUHo4M3J0WE81a0RjQXZLR1VpaWQrY3YxcGpIenFSSmlmM3JKamlaQTNBTHloa0FBSmVobkFFQWNCbktHUUFBbDZHY0FRZjk5YTkvVlgxOS9iRG1SaUtSeFAwVksxWW9IQTczVzM3dnZmY08rdHhvTktybm4zOSt3SE9Hbzc2K1h1WGw1UmY4UEFBalJ6a0REamwrL0xnMmJ0eW9qSXpoblVWMzllclYyckpsaTZTemhSbVB4L3N0Ly9lLy96M29jMzArbitycTZyUm16UnJadG4xQk9YMCtuelp2M2p6azZ3TVlYWnlFQkVnaUVBZ1lTVHAwNk5Db3Z1NkREejZvSTBlT0RGck9yYTJ0ZXUrOTkrVHorU1JKTFMwdGV2REJCL1h3d3cvcjRZY2YxdEtsUzdWdDI3YkUvS2FtSnVYbGZYNDY3WFBYZG0zYjFvb1ZLelIvL256OTRBYy9HRFJYWVdHaExydnNzbUY5aHIvOTdXL0t6TXdjMXR4a0Nnc0xKVW1IRHgvbTl4SUFZR2lCUU1BRUFnRXptbmJ0Mm1XKy8vM3ZtMGdrTXVpY3dzSkNFNC9IRTQvajhiajUrOS8vYmxhdVhHbXV2LzU2MDliVzFtLysxNy8rOWFUdisrcXJyNW9iYjd6UnRMYTJEam9uRUFpWW5wNGVZNHd4MFdqVS9QQ0hQelRWMWRWSlgvdGk5ZjZjbmY3ekJ0eUFxMUlCNCt6bzBhTjY2cW1uSkduQUdxelg2OVdPSFR0azI3WXN5NUxIYzNiTDA0a1RKM1QvL2ZkcjZ0U3BXck5taldwcWFpUkppeFl0U2p3M0dvMG1IdDl4eHgzNnlVOStNdUM5RHh3NElKL1BwMjNidHVuKysrOGZNdWZDaFF2VjA5T2o5dloyclZpeFlzRHlyS3dzdGtVREFKd3gybXZPSlNVbFpzK2VQZjNXVUh2Tm5qM2JHR05NVjFlWG1UTm5UbUk4SG8rYlBYdjJHTnUyalRIR2ZPYzczekd0cmEzbThjY2ZIN0FHUFpqVzFsWlRWRlJrRGgwNlpPYk9uV3ZhMjl2UE82ODNWMHRMaTFtd1lJR3ByYTAxeGhqenlTZWZYT2hIdlNDc09RT2ZZNGN3WUp6OTZsZS8wc0tGQzRlY0U0MUdsWldWbFhqczhYaTBjT0ZDV2RiWnpiSGw1ZVhLeWNuUnFWT25WRkZSTWF6MzNiNTl1d29MQ3hVSUJGUlVWS1N0VzdjT090ZXlMUDM2MTcvV3Q3LzliWDMxcTErVkpDMWV2SGpBVG1nQXhnWmZhd1Bqck0rcEtyVmt5WkoreTY2NDRncEpVbWRuWjc5NXUzYnQwalBQUE5OdmJsZFhsMXBiVy9YaGh4L3F1ZWVlRy9BK3UzZnZUdHovOU5OUHRYWHJWajM5OU5PU3BQdnV1MDlMbHk3VjdiZmZyaTkvK2N1SmVaRklSQjZQUng2UFIrWGw1Y3JPenRhdVhic1N5L3YrcDJMdDJyVmFzR0RCQlgxMkFNTkRPUU1PMnJGamg3eGViK0p4VjFlWEpPbmd3WVBLemMxVlUxT1RQQjZQYnJ2dE50MTIyMjJKZVNkT25OQ2FOV3MwYTlZc3hlTnhQZlhVVTdJc1MvLzYxNy8wM252dmFmbnk1WW01eGhodDJMQkIzL2pHTnpScjFpeEowbGUrOGhYZGVlZWQrdG5QZnFiZi9lNTNpVzNiTFMwdGlUMjF6OTA3dmJDd1VHKzg4VWEvdkFER0J1VU11TWlxVmF0MDhPQkJUWjQ4V1JzMmJOQ2VQWHRVWDErdnRXdlhTcExhMjl2MXdnc3Y2SVVYWHRDR0RSdFVYRnlzQng1NFFHdlhybFU4SGxkOWZiM3V2dnZ1ZnEvWmU0enluLzcwcDM3akpTVWx1dnZ1dTdWcDB5YXRXYk5Ha2xSVFU2UHAwNmZyZTkvN25scGFXZ2JrdStXV1cvbzlmdU9OTjBiejR3TUFNRHhqY1NpVk1jWVVGUldaanovK2VNQjQ3K0ZUN2UzdFp0bXlaV2JuenAybXBxYkdQUGJZWStaYjMvcVcrY1V2Zm1HS2k0c1Q4NnVycTAxSlNZbVpOMitlMmI5L2YyS25zWjZlSGxOV1ZtYm16cDA3NktGUTFkWFZwcmk0Mkt4ZnY5NTBkSFNZeHg5LzNEejU1SlBublh1K0hkaEdFenVFQVo5anpSbHd5TEpseTdSczJUSkZvOUh6THMvSXlORFh2dlkxM1hUVFRUcDkrclNtVEptaUYxOThVWmRkZHBrcUtpcjBtOS84UnZ2MjdkTzBhZE8wZWZObXZmcnFxM3JpaVNjVWo4YzFiOTQ4ZWIxZXZmUE9PL3I5NzMrdnE2NjY2cnp2Y2RWVlYrbVpaNTdScWxXcnRIbnpacjMrK3VzRHRtMERBT0E2WTdYbVBGSk5UVTNtbm52dU1WdTNialVuVDU3c3Q4eTJiVk5aV1drKytPQUQwOXJhYWxwYVdvYjFtbWZPbkRFblQ1NDBhOWFzR1hRT2E4N0ErT0UwZVVBU1kzWDZUamN5eGlRTzF4cHZuTDRUK0J6SE9RTkljS3FZQWZSSE9RUEpoU1dwbzZQRDZSeHBxOCtsTE0rL0FSNjR4RkRPUUJMR21KQWsxZGJXT2gwbGJUVTJOa3FTakRFMURrY0JYSUZ5QnBKN1ZwTEt5c3BVVlZXbHpzNU9wL09ralhBNHJHUEhqbW5UcGsyOVF5ODdtUWR3Q3pZd0FjbjUvSDcvYnN1eTVqc2RKTTM5bzZ1cnF6Z1VDblU3SFFSd0d1ZmhBNUt6bTVxYS9weVhseGUyTEd1cXBCeEpQcWREcFltb01lWmpTVnU2dTd1WFVjd0FBQUFBQUFBQUFBQUFBQUFBQUFBQUFBQUFBQUFBQUFBQUFBQUFBQUFBQUFBQUFBQUFBQUFBQUFBQUFBQUFBQUFBQUFBQUFBQUFBQUFBQUFBQUFBQUFBQUFBQUFBQUFBQUFBQUFBQUFBQUFBQUFBQUFBQUFBQU1DTC9ENmZxMitlVWttZjlBQUFBQUVsRlRrU3VRbUNDIiwKCSJUaGVtZSIgOiAiIiwKCSJUeXBlIiA6ICJmbG93IiwKCSJWZXJzaW9uIiA6ICIiCn0K"/>
    </extobj>
    <extobj name="ECB019B1-382A-4266-B25C-5B523AA43C14-4">
      <extobjdata type="ECB019B1-382A-4266-B25C-5B523AA43C14" data="ewoJIkZpbGVJZCIgOiAiMjQ4Njc3MDQ3MzkzIiwKCSJHcm91cElkIiA6ICI2MTcyMTE1NTEiLAoJIkltYWdlIiA6ICJpVkJPUncwS0dnb0FBQUFOU1VoRVVnQUFBTXNBQUFKNkNBWUFBQUNHOHJiS0FBQUFDWEJJV1hNQUFBc1RBQUFMRXdFQW1wd1lBQUFnQUVsRVFWUjRuTzNkZVhRVVpkcjM4VytSaFMzc1d3UkVlWWpLZ3lkaU9xSXdDQzZRa1NBZ3VFU1V6VGh4NHlDRE1vSVlmQkYxVU1NaUlzSWdteENRTVNJb0pJWmhlNHdnaUFndFFoaURDV0VUQXBrUUlFa242ZTErLzhpa1RSdVdRcE91VlByNm5NT2grNjY3S2xkMytwZXF1NnE2Q29RUVFnZ2hoQkJDQ0NHRUVFSUlJWVFRUWdnaGhCQkNDQ0dFRUVJSUlZUVFRZ2doaEJCQ0NDR0VFRUlJSVlRUVFnZ2hoQkJDQ0NHRUVFSUlJWVFRUWdnaGhCQkNDQ0dFRUVJSUlZUVFRZ2doaEJCQ0NDR0VFRUlJSVlRUTRwSTBvd3VvQW9FV2kyV0VVaW9PNktwcFdrT2pDeEpWeHFhVVNnZVdXSzNXeFlERHlHTE1IcFpBaThXU0JBd3h1aEJSdlpSU1c2eFdhelFHQnNiVVliRllMTEhBa280ZE94SWZIMDlZV0JpTkdqVXl1aXhSUlFvTEM4bk96aVloSVlHREJ3K2lsSnBrdFZyZk5xcWVPa2I5NEtydzMwMHY0dVBqaVlpSWtLRFVNaUVoSVlTSGh6TjU4bVFBTkUxN3pNaDZUQjBXb0N0QVdGaVkwWFdJYXRTK2ZmdnloemNZV1llcHcxSSttSmMxU3UzV3NLRm5uMDE5SStzd2RWaUU4Q1VKaXhBNlNWaUUwRW5DSW9ST0VoWWhkSkt3K0VCUlVkRlZ6Mk8zMjZ1aEV2RkhTRmlxMmNtVEo0bU9qdWFYWDM3UlBjL3AwNmNaUEhnd0Z5NWN1R1FmdDl1TnpXYlR2VXliemNhNzc3Nkx3MUg1YkJHYnpVWmtaT1JWTGM4ZkJScGRRRzNYdG0xYjdybm5IclpzMmNMSWtTTXYybWZZc0dHVlBzVDUrZmtNSFRxVWtKQVFyL2Fnb0NCV3JseEpjbkl5SzFldTVQMzMzNmQxNjlZQVJFWkdldlV2TEN4a3o1NDlBQVFFQkxCNzkyNm1UcDNLbTIrK1daVXYwVzlJV0tyUWp6Lyt5T2pSb3l1MXU5MXV0bXpad29jZmZsaHAydmJ0MnpsOCtEQTdkKzRFd09sME1tL2VQSjUrK21ucTFhdFhxWCtQSGowQUdEaHdJSHYzN3VXNTU1NWoxYXBWdUZ3dTZ0YXRTMXBhbXFkdlpHU2s1M0hkdW5XWk1XTUdRNGNPWmNPR0RmVHIxKzhQdjE1L0kyR3BRcmZjY2d2YnQyLzNQTy9XclJ2Lyt0ZS9hTjY4K1dYbjI3QmhnK2Z4RjE5OHdjR0RCeThhbElwOU5VMWo4dVRKNU9Ua0VCd2N6Sm8xYStqU3BZdFhYMDNUS0NnbzhKemgwTFp0V3hZdFdpU25CLzFPRXBacTRuQTRjTHZkTkdqUTRJcDlZMk5qQVNnb0tLQ2twSVJXclZyeDRJTVBlcVlmUFhxVU5tM2FVSzllUFFJREE3bmpqanRJU1VtaGJ0MjZwS2Ftc25yMWFqNzQ0QVBtenAzcnRkem82R2dHRFJxRTIrM21uWGZlb1hQbnpyUnUzWm82ZFdTbytudVkvUlI5QlhpMnkydVN3c0pDN3Jyckx1clh2L2pwVEltSmlYVHMyTkdyL3hOUFBFSFBuajBaUG53NHJWcTFvclMwbEZtelpwR2RuYzNjdVhNSkRnNzJXa2FQSGozWXVYTW5HUmtaMUt0WGordXV1KzZTOVV5WU1JSE16RXlPSGozS2Q5OTl4NG9WSzFpMmJKbG4rdm56NTJuU3BJblhQRnUzYnYwOUw3MWFsRzlTN3QyNzE3RFByS3hacXNtWk0yZG8xNjRkNjlhdHF6U3RSNDhlbGRZNElTRWh6Snc1a3gwN2RoQWJHMHR3Y0xCbkUycmF0R2tFQmw3NlYzWFRUVGZScTFjdkFnSUN2QWI0NTgrZnAyN2R1bXpldkptRWhBVGcxdy9kcUZHakdEVnFGRkMyTjZ4WHIxNGtKeWZyV2hQNkt3bExOZG0zYng4MzNuaGpwWGFIdzRIZGJ2YzZVM3Jac21Wa1pHUnc1TWdSaW9xS3VQWFdXN24rK3V2cDFxMGJ1M2Z2WnZiczJXUmxaZEc1YzJkZWV1a2xPblRvVUdtNXI3NzZLbXZYcm1YKy9QbEEyVTZGUng5OWxEdnV1S1A2WHFTZmtiQlVrODgvLzV5SEgzNjRVdnY1OCtjSkNncnkrZ3ZldVhObk9uZnV6QTAzM09EWkdSQVZGVVZjWEJ4ZHUzWWxMaTZPa3BJU3JGWXJiZHUydmVqUDY5dTNMNHNYTDJiejVzMzA3ZHVYNWN1WFk3ZmJMN3AzVHZ3K0VwWnFzRzdkT25KemM3bnZ2dnNxVGN2TnphVnAwNmFlNXc2SGcyblRwbm4xeWN2TG83aTRtRzdkdWwwMEhJbUppVFJ1M0JpQVk4ZU9zWEhqUnVMaTRuanp6VGNaTTJZTS8vNzN2MGxKU1dIQmdnV1gzS3hLVDAvbjNMbHo5T3paODQrOFZMOGlZYWxpdTNidElpRWhnZW5UcHhNY0hJemRiaWMzTjVjV0xWb1FFQkJBU2txSzEwQThLQ2lJTDc3NEFvRGp4NDk3MWdocGFXa01IanlZQXdjT01IVG9VTzYrKzI2dmNVdE9UZzRPaDRPNHVEaGVlT0VGQU9yWHIwKzdkdTFZdG13WkR6MzBFSzFhdGZLcXJmd1VtaWxUcHBDWm1jbVVLVk9xKysyb1ZTUXNWY2hxdGZMQ0N5OHdhZElrejhIRGtwSVNoZ3daZ3N2bEFxQmx5NWFld1RiQWhRc1hXTDkrUFdscGFUUnAwb1RZMkZpNmRPbENWRlFVNDhhTkl6YzNsMDgvL1pTRkN4ZlNvVU1Id3NQREdUaHdJR2ZQbnNWaXNUQng0a1N5czdONThjVVgrZUdISHhnNWNpUnZ2ZlVXOCtmUHAzLy8vdlRxMVl2dTNidlR1M2R2RGgwNlJJTUdEYmo1NXB0NS9mWFhaUmV5UDdGWUxNcGlzYWlhd3VWeXFVT0hEbDEwV2tsSmlTb3NMRlJ1dDl1cjNXYXpxYVZMbDZwVHAwNTV0ZmZ0MjlmcnVkdnRWZ2NPSEZDTEZpMVN4Y1hGbnZhdnYvNWFqUmd4UXExYXRVb1ZGaFo2emZQTEw3K28rZlBucXdrVEppaTczYTZVVXVyczJiT1Zhbk00SEdybHlwWEs0WERvZjdFK1Z2NjdOdkx6SnNkWmhDblVoT01zc2g0V1FpY0ppeEE2U1ZpRTBFbkNJb1JPWmcrTERjcE9RaFMxVjRWdmNKWVlXWWVwdzZMS2JrZEFkbmEyMGFXSWFuVHExQ2tBbEZLSGphekQxR0VCbGdBa0pDU1FrWkh4dXk0TUlXb3VtODFHVmxZV00yYk1LRzlhYldROXBqN09BZ1JGUkVTa2Fwcld4K2hDUkxYYlZWcGEyanM5UGQyd3k5NEVHUFdEcTRnN0p5ZG5WV2hvcUUzVHROWkFZeURJNktKRWxTbFJTaDBDNXR2dDlpZU5ESW93cVpwdzZvYy9NdnVZUlFpZmtiQUlvWk9FUlFpZEpDeEM2Q1JoRVVJbkNZc1FPa2xZaE5CSndpS0VUaElXSVhTU3NBaWhrNFJGQ0owa0xFTG9KR0VSUWljSml4QTZTVmlFMEVuQ0lvUk9FaFloZEpLd0NLR1RoRVVJblNRc1F1Z2tZUkZDSndtTEVEcEpXSVRRU2NJaWhFNW12M3lyWDRpSWlPZ0RSSmMvMXpSdFBJQlNhbWFGYmp1dFZ1dG52cTdObjhqZGlzM0JXUjZRaWlxMnVWeXVCMzFia3YrUnpUQVRzRnF0M3lpbHpsNm15d1duMDVuaXM0TDhsSVRGSEp6QUo1ZVp2bGt1bWwzOUpDem1zZVpTRTVSU24vcXlFSDhsWVRHSmdvS0NiY0NGMzdZcnBZcnk4L00vTjZBa3Z5TmhNWW5Nek14U3BWU2xPMTlwbXJiMXlKRWpodDVyMFY5SVdFeEVLVlZwMTdEYjdaYmR4VDRpWVRHUk0yZk9mQVZVdkhGbXNjUGhrTEQ0aUlURlJFNmVQR2tES281UDB0TFQwK1crNWo0aVlURVp0OXRkY2R3aUEzc2ZrckNZVEhGeDhSYktia3hxZHpnY1NVYlg0MDhrTENhVGtaRlJvSlJLMWpSdCsvNzkrL09OcnNlZnlMbGhKcVNVU2dKQ2phN0QzOVNHczQ0RExSYkxDS1ZVSE5CVjA3U0dSaGNrcW94TktaVU9MTEZhcllzQmg1SEZtRDBzZ1JhTEpRa1lZblFob25vcHBiWllyZFpvREF5TXFjTmlzVmhpZ1NVZE8zWWtQajZlc0xBd0dqVnFaSFJab29vVUZoYVNuWjFOUWtJQ0J3OGVSQ2sxeVdxMXZtMVVQYVllNFA5MzA0djQrSGdpSWlJa0tMVk1TRWdJNGVIaFRKNDhHUUJOMHg0enNoNVRod1hvQ2hBV0ZtWjBIYUlhdFcvZnZ2emhEVWJXWWVxd2xBL21aWTFTdXpWczZObG5VOS9JT2t3ZEZpRjhTY0lpaEU0U0ZpRjBrckFJb1pPRVJRaWRKQ3hYcWFpbzZNcWRmc051bHd1djFBWVNscXR3OHVSSm9xT2orZVdYWDNUUGMvcjBhUVlQSHN5RkM1V3VOZUhoZHJ1eDJXeTZsMm16MlhqMzNYZHhPQ3FmK1dHejJZaU1qTlMxdkRObnpwQ2FtbnJGZnYvNHh6OHF0VG1kVGo3KytPT0wxbEJieVZuSFY2RnQyN2JjYzg4OWJObXloWkVqUjE2MHo3Qmh3eXA5Z1BMejh4azZkQ2doSVNGZTdVRkJRYXhjdVpMazVHUldybHpKKysrL1QrdldyUUdJakl6MDZsOVlXTWllUFhzQUNBZ0lZUGZ1M1V5ZE9wVTMzM3p6ZDc4ZXBSUXpac3pnbGx0dW9WMjdkcGZzdDJMRkNwNTk5bG12dHNEQVFINysrV2MrK3Vnam5ucnFxZDlkZzVsSVdDN2h4eDkvWlBUbzBaWGEzVzQzVzdaczRjTVBQNncwYmZ2MjdSdytmSmlkTzNjQ1pYOTk1ODJieDlOUFAwMjlldlVxOWUvUm93Y0FBd2NPWk8vZXZUejMzSE9zV3JVS2w4dEYzYnAxU1V0TDgvU05qSXowUEs1YnR5NHpac3hnNk5DaGJOaXdnWDc5K3VsNlRaR1JrVFJ2M3R5cnJVNmRPanp4eEJPVitwNDdkNDdkdTNkN3RlWG41eE1URXdQOHVta1pIQnhNVXRLdjMwSGJ0R21UcmxxRWoxa3NGbVd4V0pRdjNIYmJiU292TCsrSy9jNmRPK2Q1dkhyMWF2WE1NOC9vNnV0d09OVHg0OGVWVWtwOTl0bG42aTkvK1l0WDM4aklTSFhod2dXdnRveU1ET1Z5dWJ6YWlvcUtsTVZpVVVWRlJSZDlEYjkxcWZmdnR0dHVVLzM2OVZQOSt2VlRrWkdScWwrL2Z1ckFnUU9ldXFPaW9sUm1acVpTU3FuOC9IemxkcnN2K1RxclF2bnYyc2pQbTZ4WmRIQTRITGpkYmhvMGFIREZ2ckd4c1FBVUZCUlFVbEpDcTFhdGVQREJYNi9aZmZUb1VkcTBhVU85ZXZVSURBemtqanZ1SUNVbGhicDE2NUthbXNycTFhdjU0SU1QbUR0M3J0ZHlvNk9qR1RSb0VHNjNtM2ZlZVlmT25UdlR1blZyNnRUUlAreWNNbVVLanp6eUNJV0YzdGU0aUk2Tzlub2VFaExDbENsVEdEQmdBRC85OUJOeGNYRmVZNXRaczJZeFpNZ1FPblhxaEZLSzhlUEg4OEFERHpCbzBDRGR0WmlSMlUvUlY0Qm5XNzY2RkJZV2N0ZGRkMUcvL3NWUFRVcE1US1JqeDQ1ZS9aOTQ0Z2w2OXV6SjhPSERhZFdxRmFXbHBjeWFOWXZzN0d6bXpwMUxjSEN3MXpKNjlPakJ6cDA3eWNqSW9GNjllbHgzM1hXWHJHZkNoQWxrWm1aeTlPaFJ2dnZ1TzFhc1dNR3laY3M4MDgrZlAwK1RKazI4NXRtNmRTc0FkOTExVjZYTnU5KytmeFg3dlAvKyszenl5U2Q4OGNVWHRHalJnblhyMXZIaGh4OHliZG8wU2twSytQYmJiL24rKys5WnVuUXBBUUVCbDNzYi81RHl6ZEM5ZS9jYTlwbVZOWXNPWjg2Y29WMjdkcXhidDY3U3RCNDllbFJhNDRTRWhEQno1a3gyN05oQmJHd3N3Y0hCRkJRVTBLaFJJNlpObTBaZzRLWGY5cHR1dW9sZXZYb1JFQkRnTmNBL2YvNDhkZXZXWmZQbXpTUWtKQUMvZm9CR2pSckZxRkdqZ0xLOVliMTY5U0k1T1ZuWG12Qnlpb3VMMmJGakJ5NlhpeWVmZkpJUkkwYXdkdTFhR2pkdXpPTEZpOG5PenFhNHVKakV4RVMrK2VZYm5FNG45OTU3N3gvNm1UV1poRVdIZmZ2MmNlT05OMVpxZHpnYzJPMTJyN09lbHkxYlJrWkdCa2VPSEtHb3FJaGJiNzJWNjYrL25tN2R1ckY3OTI1bXo1NU5WbFlXblR0MzVxV1hYcUpEaHc2Vmx2dnFxNit5ZHUxYTVzK2ZENVR0VkhqMDBVZTU0NDQ3cXVUMURCZ3c0TExQeTYxY3VaSmV2WHB4L1BoeFpzeVl3WTRkTzBoTVRFVFROQklURXpsNDhDRHo1czNEWnJQeDJtdXZNWDM2OUNxcFQxUURYdzN3UjQ0Y3FkYXRXMWVwUFRjM1Y5MXh4eDFlYmQ5Kys2MzY5dHR2dlhZRzlPM2IxNnRQY1hHeDJyRmpoM0k0SEo2Mjd0MjdleDY3WEM0VkV4T2pObTNhcEpSU2F1blNwV3JRb0VHVkJ1MFdpMFU1blU2dnRzc044SlZTcW5mdjNwV1djYkUrVHFkVDNYZmZmU292TDAvMTdOblRNKzM0OGVOcTlPalI2cUdISGxMSGpoMVRKMDZjVVAzNzkxY2ZmL3p4Ulg5ZVZaRUJ2Z21zVzdlTzNOeGM3cnZ2dmtyVGNuTnphZHEwcWVlNXcrRmcyclJwWG4zeTh2SW9MaTZtVzdkdXRHM2J0dEl5RWhNVGFkeTRNUURIamgxajQ4YU54TVhGOGVhYmJ6Sm16QmorL2U5L2s1S1N3b0lGQ3k2NVdaV2VuczY1YytmbzJiT25ydGYwMndIOWI1OUQyYkdjOTk1N3oydFg4L3o1ODFtK2ZEa0RCZ3hnK3ZUcEhEOStuTC8rOWEvY2R0dHRQUGFZb1Y5aTlBa0p5MlhzMnJXTGhJUUVwaytmVG5Cd01IYTduZHpjWEZxMGFFRkFRQUFwS1NsZUEvR2dvQ0MrK09JTEFJNGZQODd5NWN1eDIrMmtwYVV4ZVBCZ0RodzR3TkNoUTduNzdydTl4aTA1T1RrNEhBN2k0dUo0NFlVWEFLaGZ2ejd0MnJWajJiSmxQUFRRUTdScTFjcXJ0dkxqSEZPbVRDRXpNNU1wVTZib2VrMVRwa3p4R2xkRVJrWldPb3BmdmpQZ3BwdHU4bW9mTW1RSWQ5NTVKemZmZkROSlNVbDg4TUVIeE1URWtKS1N3cWVmZnNvamp6eWlxd2F6a3JCY2d0VnE1WVVYWG1EU3BFbWVnNGNsSlNVTUdUSUVsOHNGUU11V0xUMkRiWUFMRnk2d2Z2MTYwdExTYU5La0NiR3hzWFRwMG9Xb3FDakdqUnRIYm00dW4zNzZLUXNYTHFSRGh3NkVoNGN6Y09CQXpwNDlpOFZpWWVMRWlXUm5aL1BpaXkveXd3OC9NSExrU041NjZ5M216NTlQLy83OTZkV3JGOTI3ZDZkMzc5NGNPblNJQmcwYWNQUE5OL1A2NjYvcjNvV3Nad0IrcVQ2aG9hRWNQWHFVVWFOR2NmNzhlZWJNbVVORVJBUVBQUEFBenozM0hDZE9uR0RjdUhGb21xbDNzdFpPMVRsbWNibGM2dENoUXhlZFZsSlNvZ29MQ3lzZGlMUFpiR3JwMHFYcTFLbFRYdTIvSGJPNDNXNTE0TUFCdFdqUklsVmNYT3hwLy9ycnI5V0lFU1BVcWxXclZHRmhvZGM4di96eWk1by9mNzZhTUdHQ3N0dnRTaW1senA0OVc2azJoOE9oVnE1YzZUVWV1cHlubm5ycWluM0t4eXcvL2ZTVEdqaHdvRnE0Y0tFcUtTbng2blB5NUVrMWQrN2NhanM0V1JQR0xLYitFK0NyNHl6Q2VEWGhPSXVjZFN5RVRoSVdJWFNTc0FpaGs0UkZDSjNNSGhZYlVPa3NXbEc3VlBqV3A2RjNaVFoxV0ZUWjdRakl6czQydWhSUmpVNmRPZ1dBVXVxd2tYV1lPaXpBRW9DRWhBUXlNakorMThVa1JNMWxzOW5JeXNwaXhvd1o1VTJyTDllL3VwbjZPQXNRRkJFUmthcHBXaCtqQ3hIVmJsZHBhV252OVBSMHd5NlZVMzNmMXZFTmQwNU96cXJRMEZDYnBtbXRnY1pBa05GRmlTcFRvcFE2Qk15MzIrMVBHaGtVWVZJMTRkUVBmMlQyTVlzUVBpTmhFVUluQ1lzUU9rbFloTkJKd2lLRVRoSVdJWFNTc0FpaGs0UkZDSjBrTEVMb0pHRVJRaWNKaXhBNlNWaUUwRW5DSW9ST0VoWWhkSkt3Q0tHVGhFVUluU1FzUXVna1lSRkNKd21MRURwSldJVFFTY0lpaEU0U0ZpRjBrckFJb1pPRVJRaWR6SDc1VnI4UUVSSFJCL0RjZjF2VHRQRUFTcW1aRmJydHRGcXRuL202Tm44aWR5czJCMmQ1UUNxcTJPWnl1UjcwYlVuK1J6YkRUTUJxdFg2amxEcDdtUzRYbkU1bmlzOEs4bE1TRm5Od0FwOWNadnBtdVdoMjlaT3dtTWVhUzAxUVNuM3F5MEw4bFlURkpBb0tDcllCRjM3YnJwUXF5cy9QLzl5QWt2eU9oTVVrTWpNelM1VlNsZTU4cFduYTFpTkhqaGg2cjBWL0lXRXhFYVZVcFYzRGJyZGJkaGY3aUlURlJNNmNPZk1WVVBIR21jVU9oMFBDNGlNU0ZoTTVlZktrRGFnNFBrbExUMCtYKzVyN2lJVEZaTnh1ZDhWeGl3enNmVWpDWWpMRnhjVmJLTHN4cWQzaGNDUVpYWTgva2JDWVRFWkdSb0ZTS2xuVHRPMzc5Ky9QTjdvZWZ5TG5ocG1RVWlvSkNEVzZEbjlURzg0NkRyUllMQ09VVW5GQVYwM1RHaHBka0tneU5xVlVPckRFYXJVdUJoeEdGbVAyc0FSYUxKWWtZSWpSaFlqcXBaVGFZclZhb3pFd01LWU9pOFZpaVFXV2RPellrZmo0ZU1MQ3dtalVxSkhSWllrcVVsaFlTSFoyTmdrSkNSdzhlQkNsMUNTcjFmcTJVZldZZW9ELzMwMHY0dVBqaVlpSWtLRFVNaUVoSVlTSGh6TjU4bVFBTkUxN3pNaDZUQjBXb0N0QVdGaVkwWFdJYXRTK2ZmdnloemNZV1llcHcxSSttSmMxU3UzV3NLRm5uMDE5SStzd2RWaUU4Q1VKaXhBNlNWaUUwRW5DSW9ST0VoWWhkSkt3WEtXaW9xSXJkL29OdTEwdXZGSWJTRml1d3NtVEo0bU9qdWFYWDM3UlBjL3AwNmNaUEhnd0Z5NVV1dGJFWlczYnRvMEZDeFpjY25wV1ZoYmJ0bTN6YXR1NWN5Y0hEaHk0YUgrYnpjYTc3NzZMdzFINWJCR2J6VVprWkNRMm02M1NOTGZiemRkZmY0MVM2ckovS0w3NjZxdExUcXN0SkN4WG9XM2J0dHh6enoxczJiTGxrbjJHRFJ0R1RFeU01OS96eno5UGZuNCtRNGNPOVdxUGlZbGgyTEJobDF6T2RkZGR4NnBWcXpoMjdOaEZwN2RzMlpMNTgrZFRXRmoyUlVtNzNjNWJiNzJGMCttOGFQK0FnQUIyNzk3TjFLbFRyK0lWbHhrL2ZqeG56NTdscFpkZVl0R2lSWjcyMGFOSGUvV3A3ZVFVL1V2NDhjY2Z2VDRNNWR4dU4xdTJiT0hERHorc05HMzc5dTBjUG55WW5UdDNBdUIwT3BrM2J4NVBQLzAwOWVyVnE5Uy9SNDhlQUhUcjFvMEdEUnBVbXE2VVlzU0lFVjV0TnB1Ti92MzdzMmZQSHV4Mk8wT0hEZ1hnM252dkpTOHZ6M05xU0VWRGh3NWwrUERoekpneGc2RkRoN0pod3diNjlldW40MTJBT25YcUVCZ1lTSk1tVFhqdnZmYzRmUGd3UjQ4ZXBVMmJObGl0VmwzTEVEV0F4V0pSRm90RitjSnR0OTJtOHZMeXJ0anYzTGx6bnNlclY2OVd6enp6ekJYN1dpd1c1WFE2MWVIRGg5V0JBd2M4MDB0S1N0Uzc3NzdyZWU1ME9qMnZOeW9xU3JsY0xxV1VVcHMyYlZLMzNYYWIyckpsaTFKS3FYNzkrbDN5WjJaa1pIam1LMWRVVktRc0Zvc3FLaXJ5YXMvTHkxUGZmdnV0dXZQT085VXJyN3lpaGcwYnBxS2pvMVZjWEp3NmR1eVk2dDY5dTZkdmRmOGV5bi9YUm43ZVpNMmlnOFBod08xMlgvU3YvMi9GeHNZQ1VGQlFRRWxKQ2ExYXRlTEJCMys5Wm5mNVgrVjY5ZW9SR0JoSVVsSVNzMmZQcGs2ZE9wdytmWnEzM25xTGE2KzlsakZqeG5ETk5kZnc4Y2NmTTI3Y09LRHNyL3pzMmJNQmNMbGMxS2xUdGhWOXp6MzNzSGp4WXNhUEg4Kzk5OTdyK1ZrblRweGczNzU5M0gvLy9SUVdGdUowT21uZHVyVm52aXQ1NDQwM2FOeTRNUTZIZzBHREJoRVdGa2J6NXMxeHU5MEVCQVRvZS9OcUVRbUxEcVdscFFEMDdkdjNvdE1URXhQcDJMRWpBR3ZXcktHd3NKQW5ubmlDL3YzN00zejRjRnExYWtWcGFTbXpaczJpWmN1V3pKMDdsK0RnWU0vOHZYcjE0cHR2dmlFME5KVFBQdnVNMWF0WGMrellNWm8xYTBiZHVuVTkvVFJObzFldlhwNmFCZ3dZZ052dFp1blNwWFRxMUFtSHc4SHk1Y3NwS0NnZ09qcWErdlhyYy9yMGFlNi8vMzVlZi8xMU1qTXpPWHIwS045OTl4MHJWcXhnMmJKbFhxOWp3SUFCWHMrM2J0MEtsQTNlSXlJaUNBNE9KakV4a2NPSER6Tmx5cFEvK0s2YWo0UkZoek5uenRDdVhUdldyVnRYYVZxUEhqMHFyWEZDUWtLWU9YTW1PM2JzSURZMmx1RGdZQW9LQ21qVXFCSFRwazBqTUxEeTIzN3ExQ24rL3ZlLzA2bFRKNTUvL25sdXZQRkdNakl5YU5La3lVVnJDZ29LSWprNW1aaVlHRTZkT3NXU0pVdHd1VnkwYU5HQ2V2WHFzVzdkT29LQ2d2anpuLzhNUUVKQ0FnQ1JrWkVBakJvMWlsR2pSZ0ZsNDZCZXZYcVJuSng4MGJWbnUzYnR5TW5Kb2JDd2tJOCsrb2lsUzVkZXhidFhlMGhZZE5pM2J4ODMzbmhqcFhhSHc0SGRidmM2NjNuWnNtVmtaR1J3NU1nUmlvcUt1UFhXVzduKyt1dnAxcTBidTNmdlp2YnMyV1JsWmRHNWMyZGVldWtsT25Ub0FNREREei9Nb0VHRFdMTm1qV2V0azVXVlJkdTJiU3Y5WEp2TjV1bFRXbHBLcDA2ZG1ETm5EbEZSVWR4Ly8vM01uVHVYb0tBZ3pwNDlxMnZUOFVyKzkzLy9seTFidHJCcTFTciszLy83ZjU2YS9ZMkVSWWZQUC8rY2h4OSt1Rkw3K2ZQbkNRb0s4dnBBZHU3Y21jNmRPM1BERFRmUXZIbHpBS0tpb29pTGk2TnIxNjdFeGNWUlVsS0MxV3FsYmR1MlpHUms4UFRUVDNzdGQvNzgrVURaN21DMzI4MWRkOTNsTlQweE1aRVdMVnA0K2x4c1Q5djQ4ZU94V3EyTUhEa1N1OTN1dGRsM3RicDE2OGFycjc3SzVNbVR1ZXV1dTdEWmJGVVNRck9Sc0Z6QnVuWHJ5TTNONWI3NzdxczBMVGMzbDZaTm0zcWVPeHdPcGsyYjV0VW5MeStQNHVKaXVuWHJkdEcxUkdKaUltbHBhVjV0U2lrV0xseklnZ1VMR0Q5K1BJOCsrcWpYZ1BxcnI3N3lqSkZLUzBzSkNncXF0TnlaTTh2dW9KZWRuYzJiYjc3SjY2Ky83alU5UFQyZGMrZk8wYk5uejh1Ky90T25Uek4vL256cTFhdkhQZmZjQThDS0ZTdHd1VnllWGVUK1FzSnlHYnQyN1NJaElZSHAwNmNUSEJ5TTNXNG5OemVYRmkxYUVCQVFRRXBLQ3RkZGQ1Mm5mMUJRRUY5ODhRVUF4NDhmWi9ueTVkanRkdExTMGhnOGVEQUhEaHhnNk5DaDNIMzMzUmNkdDdqZGJuYnUzTW5peFl1eDJXeE1uejZkOWV2WHMzTGxTb1lORzhhRER6NUl2WHIxMkwxN043ZmZmanZuejUvM0NwSFQ2YVNnb0lCMzNubkgwMmExV2owMWxwOTJNMlhLRkRJek02ODRTRTlQVCtlbGwxN2lvWWNlWXMrZVBmejk3My9ucmJmZUlpc3J5elAyOFNjU2xrdXdXcTI4OE1JTFRKbzB5WFB3c0tTa2hDRkRodUJ5dVlDeW8ramxBMmVBQ3hjdXNINzlldExTMG1qU3BBbXhzYkYwNmRLRnFLZ294bzBiUjI1dUxwOSsraWtMRnk2a1E0Y09oSWVIMDZ0WEw2eFdLL3YyN1dQSGpoMDBhOWFNeHg1N2pFR0RCaEVRRU1DOTk5NUxWbFlXaXhjdjVxT1BQbUxFaUJFY09IQ0E0dUppNXN5WlEweE1qT2ZuRHg0OG1QNzkrM3Z0R3I3bW1tdVlNMmNPQVB2Mzc2ZEJnd2JjZlBQTnZQNzY2NWZkaGV4d09IajU1WmQ1L1BISEdUNThPRDE3OW1Ua3lKRTgvUEREbkR4NWtzY2ZmNXpEaHc5VHQyNWRjbkp5dlBiYWlScW9PZzlLdWx3dWRlalFvWXRPS3lrcFVZV0ZoY3J0ZG51MTIydzJ0WFRwVW5YcTFDbXY5cjU5KzNvOWQ3dmQ2c0NCQTJyUm9rVXFOemRYL2UxdmYxTWZmZlNSeXN6TXZHeE5XVmxaYXVIQ2haVU9IbDZOczJmUFZtcHpPQnhxNWNxVnl1RndlTFVYRkJSNFBkKzBhWlBxMjdldkdqRmloSEk2bmVxVlYxNVIwZEhSYXZEZ3dlcWpqejc2M1RYcFVSTU9TcHI5VWtnS1lNK2VQVWFYSXFwWitXYmYzcjE3RGZ2TXlvbVVRdWdrWVJGQ0p3bUxFRHBKV0lUUXlleGhzUUdlTDBDSjJxbkNOemdOdlN1enFjT2l5bTVIUUhaMnR0R2xpR3AwNnRRcEFKUlNoNDJzdzlSaEFaWkEyUm0xR1JrWnYrdGlFcUxtc3Rsc1pHVmxNV1BHalBLbTFaZnJYOTFNZlp3RkNJcUlpRWpWTksyUDBZV0lhcmVydExTMGQzcDZ1bUdYeWpINzE5M2NPVGs1cTBKRFEyMmFwclVHR2dPVnp5b1VabFdpbERvRXpMZmI3VThhR1JSaFVqWGgxQTkvWlBZeGl4QStJMkVSUWljSml4QTZTVmlFMEVuQ0lvUk9FaFloZEpLd0NLR1RoRVVJblNRc1F1Z2tZUkZDSndtTEVEcEpXSVRRU2NJaWhFNFNGaUYwa3JBSW9aT0VSUWlkSkN4QzZDUmhFVUluQ1lzUU9rbFloTkJKd2lLRVRoSVdJWFNTc0FpaGs0UkZDSjNNZnZsV3Z4QVJFZEVIaUM1L3JtbmFlQUNsMU13SzNYWmFyZGJQZkYyYlA1RzdGWnVEc3p3Z0ZWVnNjN2xjRC9xMkpQOGptMkVtWUxWYXYxRktuYjFNbHd0T3B6UEZad1g1S1FtTE9UaUJUeTR6ZmJOY05MdjZTVmpNWTgybEppaWxQdlZsSWY1S3dtSVNCUVVGMjRBTHYyMVhTaFhsNStkL2JrQkpma2ZDWWhLWm1abWxTcWxLZDc3U05HM3JrU05IREwzWG9yK1FzSmlJVXFyU3JtRzMyeTI3aTMxRXdtSWlaODZjK1Fxb2VPUE1Zb2ZESVdIeEVRbUxpWnc4ZWRJR1ZCeWZwS1ducDh0OXpYMUV3bUl5YnJlNzRyaEZCdlkrSkdFeG1lTGk0aTJVM1pqVTduQTRrb3l1eDU5SVdFd21JeU9qUUNtVnJHbmE5djM3OStjYlhZOC9rWFBEVEVncGxRU0VHbDJIdjZrTlp4MEhXaXlXRVVxcE9LQ3JwbWtOalM1SVZCbWJVaW9kV0dLMVdoY0REaU9MTVh0WUFpMFdTeEl3eE9oQ1JQVlNTbTJ4V3EzUkdCZ1lVNGZGWXJIRUFrczZkdXhJZkh3OFlXRmhOR3JVeU9peVJCVXBMQ3drT3p1YmhJUUVEaDQ4aUZKcWt0VnFmWkpiZy9jQUFCK2ZTVVJCVk51b2Vrdzl3UC92cGhmeDhmRkVSRVJJVUdxWmtKQVF3c1BEbVR4NU1nQ2FwajFtWkQybURndlFGU0FzTE16b09rUTFhdCsrZmZuREc0eXN3OVJoS1IvTXl4cWxkbXZZMExQUHByNlJkWmc2TEVMNGtvUkZDSjBrTEVMb0pHRVJRaWNKaXhBNlNWaUUwRW5DSW9ST0VwWnFzR2pSSW80ZE8zWlY4eHc2ZElnbm4zd1NBTGZiN1dtUGpJekU1WEpkMWJMY2JqZEZSVVdjT1hPR2MrZk9YYmJ2MGFOSCtmRERENjlxK2Y1S1R0R3ZZb2NQSDJiTm1qVU1IejdjMHhZWkdVbno1czI5K2hVV0ZySno1MDdQODYxYnR4SWFXbmJXL2VMRmkyblVxQkZEaHc2OTZNL0l5OHZqcWFlZXd1bDA0bks1Y0xsY09Cd09uRTRuYnJlYndNQkE2dFdyUi8zNjlSazRjQ0N4c2JFQTNIYmJiVFJ1M0JpQUN4Y3U4UDMzMzdOaHd3YVVVbFg2SHRSV0VwWXF0bkRoUXNhTUdZUE5abVBxMUttTUdUT0c0T0JnTm0zYTVOV3ZSNDhlbnNkS0tWSlNVbmo1NVpjQjJMMTdOMDg5OWRRbGYwYUxGaTE0K2VXWENRME5wVW1USmdRRkJmSFpaNTl4d3cwMzBMMTdkMCsvZDk1NUI0dkY0bm5lckZrek5tM2F4T25UcDNuc3NjZXcyKzJzWGJzV204MUdVcEwzbHk1WHJsekpOZGRjODRmZWk5cEdOc09xMEo0OWU4akx5Nk4vLy81ODhNRUhaR1ZsMGFaTm15dk90MlBIRGs2ZVBFbVBIajA0Zi80OFAvendBMU9tVEdIQWdBRUFQUERBQXd3WU1JQUJBd2F3Y2VOR0FOTFQwM250dGRjSUNncWlRWU1HUkVaRzh0cHJyM0g2OUdtZ2JGUHcwS0ZEZE83Y3VkTFBLMS9ySlNVbEVSa1p5Y2FORzltNmRhdm5YMGhJQ0pwbTZoUFNxNFdzV2FyUVAvLzVUMDZjT01Iamp6OU9abVltaXhjdkpqQXdFS2ZUeVYvLyt0ZEx6cmQ0OFdJQTZ0U3BRMHBLQ29NR0RmS2NhUnNaR2NrWFgzeEJRRUNBMXp5eHNiSGs1T1R3emp2dk1IWHFWTHAwNlVKY1hCdy8vL3d6Ly83M3Y5bTZkU3NMRml5Z2J0MjZsL3k1UC8vOE04ODg4d3d4TVRFc1hyeVlWcTFhQVdWcnVqcDE1Ty9vYjBsWXF0RFVxVk1KREF4azdOaXhQUGJZWTRTSGh3TVFFQkRBMkxGanZmcVcvM1gvdi8vN1A4NmUvZlVDK2V2WHIrZTExMTdUOWZNbVRweUl3L0hyZDZIZWV1c3Q5dXpaUTJscDZXVy9zbEMrMXBnNmRTcEhqeDZsVFpzMnVOMXVjbk56YWRXcUZTNlhpOEJBK1dqOGxyd2pWYWhCZ3daczNMaVJDeGN1TUdiTUdFKzdwbWwwNnRUcG92T3NYYnVXU1pNbU1YcjBhQURtekpuaitRdC9LUlhITzNxbVRaczJqWHZ1dVFjQWg4TkJVRkFRVHFjVGdMUzBOTzYvLzM2Ky92cHJjbkp5ZVA3NTV5VXNseUR2U0JVNmR1d1liNzMxRnFOR2plS1RUejVCS2NXSUVTTXVPMDk4Zkx6WHVHYmt5SkdWK3BTUFhRRGF0bTNydFJjTklEVTFsWTgvL3BpREJ3OXkwMDAzOGZMTEwxOTByQUp3L3Z4NVFrSkNLQzR1Qm1EYnRtMjg5OTU3RkJRVU1IYnNXQW5MWmNnN1VvVnljbkxvMHFVTHAwK2ZwbDI3ZG5UcDBnVUF1OTN1OVlHdjZMYzdBRkpUVTcyZVIwWkdrcHljWEduTVVtN1pzbVY4L3ZubmZQamhoL1RyMTQ5WFgzMlY4ZVBITTNYcVZMcDI3ZXJWdDM3OSt2ejg4OCswYmR1V2dJQUEwdExTT0hEZ0FBOC8vREFGQlFYWWJEYk9uRG1EdytHUXNGeUV2Q05WNlBiYmIrZjIyMjhINE96WnN4dytmQmlBNE9CZ2twT1R2ZnBlYmxOS2orenNiTjU1NXgxc05odUxGeS8ySE1mcDFLa1RiN3p4QmkrKytDSi8vdk9maVkyTnBXWExsZ0NzVzdlT0NSTW1rSldWeGRpeFkybmF0Q2tUSjA2a1ZhdFdORzNhbEkwYk41S2JtNHZkYmljb0tPZ1AxVmNieVM2UEtwU2Ftc296enp6RGtDRkRlUG5sbHl0dExsVUZwOVBKNU1tVEdUWnNHT0hoNFN4WnNxVFNBYy93OEhCV3JGakI4ZVBIaVk2T0ppMHREWUFWSzFhUW5aM053b1VMZWYvOTl3a09EbWJ3NE1IMDZOR0RtMisrbVJkZWVJR2lvaUthTldzbXU0NHZRdFlzVmVpV1cyNGhQRHpjODUzeHFLZ28xcTFiaDkxdUp5b3F5cXV2M1c1bjdOaXh6Smt6NTZwK1JtQmdJTDE3OStiWlo1K3QrTjMwU3RxMGFjT2NPWE00ZVBBZ25UdDM1dU9QUDJiOSt2WE1temVQVnExYU1XblNKTSttMXB3NWMvajAwMDhKREF3a0tDaUlpUk1uWHVVckZ6V2V4V0pSRm90RjFRWnIxNjY5YVB1NmRldVUyKzNXdFl6WFgzLzlrdE1LQ2dwVWNYSHhaZWQzdVZ5NmZvNFJ5bi9YUm43ZVRMMnVMWC96OXV6WlkzUXBvcHBGUmtZQ3NIZnZYc00rc3pKbUVVSW5DWXNRT2tsWWhOQkp3aUtFVGhJV0lYU1NzQWloazluRFlvT3lyK2lLMnN0bXM1VS9MREd5RGxPSFJaWGRGWXJzN0d5alN4SFY2TlNwVXdBb3BRNGJXWWVwd3dJc0FVaElTQ0FqSTRPaW9pS2o2eEZWeUdhemtaV1Z4WXdaTThxYlZsK3VmM1V6OVJGOElDZ2lJaUpWMDdRK1JoY2lxdDJ1MHRMUzN1bnA2WGFqQ3JqNGx5VE13NTJUazdNcU5EVFVwbWxhYTZBeElPZVcxeDRsU3FsRHdIeTczZjZra1VFUkpsVVRUaXIwUjJZZnN3amhNeElXSVhTU3NBaWhrNFJGQ0owa0xFTG9KR0VSUWljSml4QTZTVmlFMEVuQ0lvUk9FaFloZEpLd0NLR1RoRVVJblNRc1F1Z2tZUkZDSndtTEVEcEpXSVRRU2NJaWhFNFNGaUYwa3JBSW9aT0VSUWlkSkN4QzZDUmhFVUluQ1lzUU9rbFloTkRKN0pkdjlRc1JFUkY5Z09qeTU1cW1qUWRRU3MyczBHMm4xV3I5ek5lMStaTkFvd3NRdWpqTEExSlJ4VGFYeS9XZ2IwdnlQN0laWmdKV3EvVWJwZFRaeTNTNTRIUTZVM3hXa0orU3NKaURFL2prTXRNM3kwV3pxNStFeFR6V1hHcUNVdXBUWHhiaXJ5UXNKbEZRVUxBTnVQRGJkcVZVVVg1Ky91Y0dsT1IzSkN3bWtabVpXYXFVcW5UbkswM1R0aDQ1Y3NUUWV5MzZDd21MaVNpbEt1MGFkcnZkc3J2WVJ5UXNKbkxtekptdmdJbzN6aXgyT0J3U0ZoK1JzSmpJeVpNbmJVREY4VWxhZW5xNjNOZmNSeVFzSnVOMnV5dU9XMlJnNzBNU0ZwTXBMaTdlUXRtTlNlME9oeVBKNkhyOGlZVEZaREl5TWdxVVVzbWFwbTNmdjM5L3Z0SDErQk01Tjh5RWxGSkpRS2pSZGZpYjJuRFdjYURGWWhtaGxJb0R1bXFhMXREb2drU1ZzU21sMG9FbFZxdDFNZUF3c2hpemh5WFFZckVrQVVPTUxrUlVMNlhVRnF2VkdvMkJnVEYxV0N3V1N5eXdwR1BIanNUSHh4TVdGa2FqUm8yTUxrdFVrY0xDUXJLenMwbElTT0Rnd1lNb3BTWlpyZGEzamFySDFBUDgvMjU2RVI4ZlQwUkVoQVNsbGdrSkNTRThQSnpKa3ljRG9HbmFZMGJXWStxd0FGMEJ3c0xDaks1RFZLUDI3ZHVYUDd6QnlEcE1IWmJ5d2J5c1VXcTNoZzA5KzJ6cUcxbUhxY01paEM5SldJVFFTY0lpaEU0U0ZpRjBrckFJb1pPRVJRaWRKQ3cxUUhGeHNlZnhzODgraTgxbTg1b2VHeHVyZTFrMm00Mjh2RHpQdjdObkwzZTVNWEUxNUt6akdtRDgrUEdFaDRmejNIUFBjZUxFQ1Z3dWw5ZjBuMy8rMmV2NTFLbFQyYmR2SHlkUG5xUnQyN2FlL3dFZWZQQkJObXpZNE9sNzRzUUp2dnJxcTJwL0RmNUF3bElEVEpzMmpiRmp4OUs3ZDI4QVVsSlNXTEZpaFdkNlNVa0pBd1lNOER4UFRrNEdJQ1ltaHFTa0pNLy81WVlQSCs1NWZPKzk5MVozK1g1RHdsSURORzdjbUtlZWVvb0ZDeGFRbTV2TC9mZmZ6OUNoUXozVDc3enpUazlBeXNYRXhIRDgrSEd2LzBORFE1a3paNDZ2eS9jYkVoYURIVDE2bE5HalI5TzZkV3NtVEpqQTRjT0hBYnpXSkJYWExBODg4QUJQUGZVVXBhV2xYSHZ0dFY1cmxnY2VlTUNRMStBdkpDd0d1L2JhYXhrM2JoeDkrL1pGMDhxK01hR1VvbWZQbm93Wk0rYXk1NzBGQmdaNitsZlVwMDhmZ29PREFYQzczZFZVdWYrUnNCaXNUcDA2UkVWRmVaNlhiMjZkUG4yYWxKUVVyODJ4aXB4T0p3MGFOQUNnUllzV3hNVEVlS1lwcFVoTlRRWHdHdnVJUDBiQ1lyRDE2OWN6Yjk0OHI3YlMwbExPbnovUGp6Lyt5TEpseXlyTms1cWFTbUZoSVhmZWVTY0EvL2pIUHdBdXVobFdjYkF2L2hnSmk4RUdEaHpJd0lFRFBjK1BIajNLaEFrVDZOcTFLeTZYaS9mZWV3OU4wemh3NEFEZmZ2c3RjWEZ4QURSdDJwVEhIMy84aXN0WFNuazI3OFFmSTJHcElRb0tDbGk1Y2lVclY2N2tqVGZlb0hmdjNvd1pNNFpYWG5rRmw4dkZpUk1udk1KeCt2UnBSbzBhZGNYbGJ0NjhtZXpzYko1Kyt1bnFMTjh2U0ZnTWxwMmR6YXBWcTlpOGVUTjkrdlNoVHAwNjNIMzMzVURad2NxWk0yZVNrWkhCNjYrL3pwLys5Q2ZQZkczYXRHSFZxbFZleXlyZkRITzczZGhzTmhvMGFNQlBQLzNrR2V5TFAwYkNZckNBZ0FCYXRHakJQLy81VDVvMGFVSktTZ3J2dnZzdTI3WnRvMjNidHN5ZE81ZTFhOWZ5OXR0djQzSzV1UGZlZS9uYjMvN0c2ZE9udlFiMUZkMTMzMzNjZDk5OUJBVUZVYTllUGViT25ldmpWeVZxSEl2Rm9pd1dpNm90Y25KeTFJZ1JJMVJpWXFMNjVaZGZ2S2E1M1c2MWYvOSt0Vy9mUHFXVVVqLzg4RU9sK1MvV1ZsdVUvNjZOL0x5WmV1UlgvdWJ0MmJQSDZGSkVOWXVNakFSZzc5NjlobjFtNWF4aklYU1NzQWloazRSRkNKMGtMRUxvWlBhdzJLRHNtcmlpOXFyd3pWRkQ3OHBzNnJDb3N0c1JrSjJkYlhRcG9ocWRPblVLQUtYVVlTUHJNSFZZZ0NVQUNRa0paR1JrVUZSVWRLWCt3a1JzTmh0WldWbk1tREdqdkduMTVmcFhOMU1mWndHQ0lpSWlValZONjJOMElhTGE3U290TGUyZG5wNXVONnFBQUtOK2NCVng1K1RrckFvTkRiVnBtdFlhYUF3RUdWMlVxRElsU3FsRHdIeTczZjZra1VFUkpsVVRUdjN3UjJZZnN3amhNeElXSVhTU3NBaWhrNFJGQ0owa0xFTG9KR0VSUWljSml4QTZTVmlFMEVuQ0lvUk9FaFloZEpLd0NLR1RoRVVJblNRc1F1Z2tZUkZDSndtTEVEcEpXSVRRU2NJaWhFNFNGaUYwa3JBSW9aT0VSUWlkSkN4QzZDUmhFVUluQ1lzUU9rbFloTkRKN0pkdjlRc1JFUkY5Z09qeTU1cW1qUWRRU3MyczBHMm4xV3I5ek5lMStSTzVXN0U1T01zRFVsSEZOcGZMOWFCdlMvSS9zaGxtQWxhcjlSdWwxTm5MZExuZ2REcFRmRmFRbjVLd21JTVQrT1F5MHpmTFJiT3JuNFRGUE5aY2FvSlM2bE5mRnVLdkpDd21VVkJRc0EyNDhOdDJwVlJSZm43KzV3YVU1SGNrTENhUm1abFpxcFNxZE9jclRkTzJIamx5eE5CN0xmb0xDWXVKS0tVcTdScDJ1OTJ5dTloSEpDd21jdWJNbWErQWlqZk9MSFk0SEJJV0g1R3dtTWpKa3lkdFFNWHhTVnA2ZXJyYzE5eEhKQ3dtNDNhN0s0NWJaR0R2UXhJV2t5a3VMdDVDMlkxSjdRNkhJOG5vZXZ5SmhNVmtNakl5Q3BSU3lacW1iZCsvZjMrKzBmWDRFemszeklTVVVrbEFxTkYxK0p2YWNOWnhvTVZpR2FHVWlnTzZhcHJXME9pQ1JKV3hLYVhTZ1NWV3EzVXg0REN5R0xPSEpkQmlzU1FCUTR3dVJGUXZwZFFXcTlVYWpZR0JNWFZZTEJaTExMQ2tZOGVPeE1mSEV4WVdScU5Hall3dVMxU1J3c0pDc3JPelNVaEk0T0RCZ3lpbEpsbXQxcmVOcXNmVUEvei9ibm9SSHg5UFJFU0VCS1dXQ1FrSklUdzhuTW1USndPZ2FkcGpSdFpqNnJBQVhRSEN3c0tNcmtOVW8vYnQyNWMvdk1ISU9rd2RsdkxCdkt4UmFyZUdEVDM3Yk9vYldZZXB3eUtFTDBsWWhOQkp3aUtFVGhJV0lYU1NzQWloazRSRkNKMGtMRFZBWGw0ZWUvZnV2YXA1YkRiYkphZTUzVzVtejU2TjNXNi9iRDl4ZGVTczR4cmd6Smt6VEp3NGtmajRlTzYrKzI2NmRldEcyN1p0Z2JJUGZwMDZ2LzVOS3lnb1lPdldyYnp5eWl0MDc5NmRvVU9IWG5TWksxZXVwRWVQSHN5YU5ZdlpzMmR6elRYWCtPUzFpQnJLWXJFb2k4V2lhZ09yMWFvbVRKaWdsRkxxbm52dThiVDM3ZHZYcTEvNXROemNYSFgvL2ZlcnRMUzBTc3R5dTkycVc3ZHVTaW1sVWxOVFZYcDZlbldWN1RQbHYyc2pQMit5WnFraGJyMzFWbTY5OVZiUDh5Ky8vSktQUHZxSTgrZlBFeE1UQTBCUzBxOWZqR3pac2lVelo4NmtRWU1HdlBUU1MrelpzOGRyZVM2WGkzdnZ2ZGZ6Zk92V3JkWDhDa1NOVmh2V0xLbXBxYXBmdjM0cUppYkcwM2FsTmN2S2xTdFYzNzU5MWNDQkF5KzUzRHZ2dkZNNW5jNnFMOWdnTldITklnTjhnL1hyMTQvVTFGUnljM085Mm1OaVlvaUppZkdzV1dKaVlqaDY5Q2dBanovK09KczJiZUxzMlV0Zks3eGh3NFlVRnhkWGErMytSamJEYXFpS20xeFhFaFVWQlVCK2ZqN05talZqL1BqeE5HN2NtQXNYTGhBU0VsSmRKZm9kQ1VzTjQzYTdDUWdJQU9DaGh4N3lQRzdhdENrZmZ2amhSZWZadEdrVEFIZmVlYWZuOGJwMTYvalBmLzdqMmFzbS9qZ0pTdzNnZHJ0eHU5MHNXYktFK3ZYcmU3NXlVRnBhU25KeU1nRFIwZEdYbkQ4dkw0OFdMVnA0dGJWcjE0NFRKMDV3eXkyM1ZGL2hma2JHTERXQTFXcjFIRDhKQ2dxaVk4ZU9BT1RtNW5yR0s1ZXlaczJhaTY1eGJyamhCakl5TWdCSVRVMmxxS2lvVWg5eGRTUXNOVUJZV0JnUFBmUVFTNVlzd1dxMThxYy8vUW1BVnExYWtaU1VSRkpTRXFtcHFWN3pGQllXVWxKU3dzcVZLNG1MaTZPa3BBU1h5MFZxYWlydnYvOCtrWkdSN05peEE0Qmx5NWJKa2Z3cUlHR3BBWm8wYWNJcnI3eUMxV3JsKysrLzkyeHlsVytDT1oxT0FNNmRPMGRnWU5tV2MzcDZPdTNhdFdQT25Eazg4OHd6OU8zYmw3Q3dNTDc5OWx1YU5XdEdwMDZkcUYrL1BxbXBxWnc3ZDQ2V0xWc2E4K0pxRVJtejFDQ0ppWW04OXRwck5HalF3S3Y5aVNlZTROaXhZMmlheGtNUFBRVEFIWGZjd2JKbHkyamF0Q2tMRnk2a1diTm1YcWZGQUV5Wk1vWG5uMytlbmoxN29tbW12cEJQaldEcWQ3RDhJTlZ2ajE2YjFXL1BBeE8vaW95TUJHRHYzcjJHZldibE4xT0RTRkJxTnZudENLR1RoRVVJblNRc1F1aGs5ckRZb095WWc2aTlLaHdqTXZTdXpLWU9peXE3SFFIWjJkbEdseUtxMGFsVHB3QlFTaDAyc2c1VGh3VllBcENRa0VCR1JvYWMwbEhMMkd3MnNyS3ltREZqUm5uVDZzdjFyMjZtUHM0Q0JFVkVSS1JxbXRiSDZFSkV0ZHRWV2xyYU96MDkzVzVVQVFGRy9lQXE0czdKeVZrVkdocHEwelN0TmRBWUNESzZLRkZsU3BSU2g0RDVkcnY5U1NPRElreXFKbnpGMWgrWmZjd2loTTlJV0lUUVNjSWloRTRTRmlGMGtyQUlvWk9FUlFpZEpDeEM2Q1JoRVVJbkNZc1FPa2xZaE5CSndpS0VUaElXSVhTU3NBaWhrNFJGQ0owa0xFTG9KR0VSUWljSml4QTZTVmlFMEVuQ0lvUk9FaFloZEpLd0NLR1RoRVVJblNRc1F1Z2tZUkZDSjdOZnZ0VXZSRVJFOUFHaXk1OXJtalllUUNrMXMwSzNuVmFyOVROZjErWlA1QWFzNXVBc0QwaEZGZHRjTHRlRHZpM0ovOGhtbUFsWXJkWnZsRkpuTDlQbGd0UHBUUEZaUVg1S3dtSU9UdUNUeTB6ZkxCZk5ybjRTRnZOWWM2a0pTcWxQZlZtSXY1S3dtRVJCUWNFMjRNSnYyNVZTUmZuNStaOGJVSkxma2JDWVJHWm1acWxTcXRLZHJ6Uk4yM3JreUJGRDc3WG9MeVFzSnFLVXFyUnIyTzEyeSs1aUg1R3dtTWlaTTJlK0FpcmVPTFBZNFhCSVdIeEV3bUlpSjArZXRBRVZ4eWRwNmVucGNsOXpINUd3bUl6YjdhNDRicEdCdlE5SldFeW11TGg0QzJVM0pyVTdISTRrbyt2eEp4SVdrOG5JeUNoUVNpVnJtclo5Ly83OStVYlg0MC9rM0RBVFVrb2xBYUZHMStGdmFzTlp4NEVXaTJXRVVpb082S3BwV2tPakN4SlZ4cWFVU2dlV1dLM1d4WUREeUdMTUhwWkFpOFdTQkF3eHVoQlJ2WlJTVzZ4V2F6UUdCc2JVWWJGWUxMSEFrbzRkT3hJZkgwOVlXQmlOR2pVeXVpeFJSUW9MQzhuT3ppWWhJWUdEQncraWxKcGt0VnJmTnFvZVV3L3cvN3ZwUlh4OFBCRVJFUktVV2lZa0pJVHc4SEFtVDU0TWdLWnBqeGxaajZuREFuUUZDQXNMTTdvT1VZM2F0MjlmL3ZBR0krc3dkVmpLQi9PeVJxbmRHamIwN0xPcGIyUWRwZzZMRUw0a1lSRkNKd21MRURwSldJVFFTY0lpaEU0U0ZpRjBrckRVRUY5KytXV2xOcHZOeHZidDIzRzczVmUxckt5c0xLWk1tWUpTcXFyS0UwaFlhb3ozMzMrL1V0djA2ZE9aTkdrU1gzLzl0VmY3d1lNSEdUQmdBQU1HREtCUG56NU1uejdkTTgzdGR2UDIyMi96M1hmZnNXM2J0bXF2MjUvSUtmbzExT3JWcXpsMDZCQkxseTdseFJkZnBIUG56b1NHbHAyVjM2VkxGNlpQbjA3ejVzM1pzV01ILy9uUGZ6enpMVml3Z1ByMTY3Tnc0VUxHamgxTGVIZzR6Wm8xTStwbDFDcXlaakZZVEV3TVE0WU1JUzh2ajVpWUdEWnQyc1NhTld0WXNtUUpzMmJOSWl3c2pMRmp4eko2OUdoKytlVVh6M3ovL09jL09YNzhPUG41K1RSdDJoU0F4TVJFTm0zYXhKdHZ2a243OXUxNSt1bW5HVGR1SEFVRkJVYTl2RnBGd21Ld3BLUWtubnZ1T1ZxMGFNRW5uM3pDOTk5L3o0SUZDL2pnZ3c5bzA2WU5BSDM3OXVXWlo1N2hpU2VlSUQwOUhZRC8vT2MvTkd2V2pIUG56bEd2WGozZWVPTU4xcTVkeTRJRkMyamN1REVBL2ZyMUl5b3FpcEVqUjVLVGsyUFlhNnd0WkRPc0J0aTRjU09scGFVc1g3NmNIajE2MEt0WEwwYVBIbDJwMzl5NWMrbllzU01BZVhsNU5HL2VuUHo4ZkpvM2IwN0xsaTJaT0hFaXNiR3hsZWFiTUdFQ3JWcTFxdmJYVWR0SldBeVduWjJOVW9xNmRldVNucDdPTGJmY3duWFhYVWRxYWlxYk4yK21mZnYyZE83Y21aOSsrb21tVFpzU0hCd01sSVZsK1BEaG5EdDNqdSsrKzQ1Ly9ldGYyTzEya3BPVDJiUnBFeDA2ZE9DbW0yN2kwS0ZEMUs5Zm40Q0FBSU5mcWZuSlpwakIzbjMzWFI1NTVCRUFKaytlekhYWFhjZkFnUU1wS2lvaUx5K1BUWnMyQVRCLy9ueU9IVHZtbVcvVHBrMmtwS1R3elRmZmVJSXdiTmd3RGh3NHdKa3paenp6TFYrKzNHdXNJMzQvQ1l1QjdIWTdBUUVCZE8vZUhZREdqUnZUdkhsenVuYnR5bzRkTzRpSWlHRFBuajNZN1hZT0hUcUV4V0lCSURjM2x3MGJOakJqeGd6bXpadm5XVjdmdm4zWnVIRWozYnQzWjlldVhUaWRUdmJ0MjhkdHQ5MW15T3VyYlNRc0Jnb09EdWFkZDk2cDFIN1hYWGV4WThjTy91ZC8vZ2VuMDhtT0hUdTQvZmJiUFd1UUgzLzhrUU1IRGhBWkdjbWpqejdxbWUvUGYvNHpXN2R1cFdQSGpqUnIxb3l2dnZvS2k4VkNZS0JzYmZzOWk4V2lMQmFMcWczNjlldm5lWnlmbjY4eU16TTl6MTk1NVJXMWJkdTJpODZYbloydEhudnNNYy96bjMvKzJmUDRyMy85cTlxeFkwYzFWT3Q3NWI5ckl6OXY4aWVuaG9tS2lxclVkdTdjT1hidDJvV21hU3hhdElqcnJydU9GU3RXa0ppWWlOMXVaOXk0Y1l3ZE81YkRodzk3elhmNjlHa09IVHBFblRwMVNFNU85dFZMcUxVa0xEVk0rY0Q4U29ZUEg4NndZY1BRdExJTDlEend3QVBWV1paQXhpdzFSbXBxNmxYUFV4NFU0UnNTRmlGMGtyQUlvWk9FUlFpZEpDeEM2R1Qyc05pZzdKcTRvdmF5Mld6bER3MjlLN09wdzZMS2JrZEFkbmEyMGFXSWFuVHExQ2tBbEZLSHI5QzFXcGs2TE1BU2dJU0VCREl5TWlncUtycFNmMkVpTnB1TnJLd3Nac3lZVWQ2MCtuTDlxNXZaZDlRSFJVUkVwR3FhMXNmb1FrUzEyMVZhV3RvN1BUM2RibFFCWnYrU2d6c25KMmRWYUdpb1RkTzAxa0JqSU1qb29rU1ZLVkZLSFFMbTIrMzJKNDBNaWpDcG1uQlNvVDh5KzVoRkNKK1JzQWloazRSRkNKMGtMRUxvSkdFUlFpY0ppeEE2U1ZpRTBFbkNJb1JPRWhZaGRKS3dDS0dUaEVVSW5TUXNRdWdrWVJGQ0p3bUxFRHBKV0lUUVNjSWloRTRTRmlGMGtyQUlvWk9FUlFpZEpDeEM2Q1JoRVVJbkNZc1FPa2xZaE5CSndpS0VUbWEvZkt0ZmlJaUk2QU5FbHovWE5HMDhnRkpxWm9WdU82MVc2MmUrcnMyZnlBMVl6Y0ZaSHBDS0tyYTVYSzRIZlZ1Uy81SE5NQk93V3EzZktLWE9YcWJMQmFmVG1lS3pndnlVaE1VY25NQW5sNW0rV1M2YVhmMGtMT2F4NWxJVGxGS2YrcklRZnlWaE1ZbUNnb0p0d0lYZnRpdWxpdkx6OHo4M29DUy9JMkV4aWN6TXpGS2xWS1U3WDJtYXR2WElrU09HM212UlgwaFlURVFwVlduWHNOdnRsdDNGUGlKaE1aRXpaODU4QlZTOGNXYXh3K0dRc1BpSWhNVkVUcDQ4YVFNcWprL1MwdFBUNWI3bVBpSmhNUm0zMjExeDNDSURleCtTc0poTWNYSHhGc3B1VEdwM09CeEpSdGZqVHlRc0pwT1JrVkdnbEVyV05HMzcvdjM3ODQydXg1L0l1V0VtcEpSS0FrS05yc1BmMUlhempnTXRGc3NJcFZRYzBGWFR0SVpHRnlTcWpFMHBsUTRzc1ZxdGl3R0hrY1dZUFN5QkZvc2xDUmhpZENHaWVpbWx0bGl0MW1nTURJeXB3Mkt4V0dLQkpSMDdkaVErUHA2d3NEQWFOV3BrZEZtaWloUVdGcEtkblUxQ1FnSUhEeDVFS1RYSmFyVytiVlE5cGg3Zy8zZlRpL2o0ZUNJaUlpUW90VXhJU0FqaDRlRk1uandaQUUzVEhqT3lIbE9IQmVnS0VCWVdablFkb2hxMWI5KysvT0VOUnRaaDZyQ1VEK1psalZLN05Xem8yV2RUMzhnNlRCMFdJWHhKd2lLRVRoSVdJWFNTc0FpaGs0UkZDSjBrTEVMb0pHR3BRVXBLU2xpK2ZEazJtKzJxNXoxeDRnVEp5Y25WVUpVb0oyR3BRWUtDZ2poKy9EZ1RKa3pBN1haZjlieHo1ODdsNTU5L3JxYnFoTm5QRFZNQWUvYnNNYnFVS3VOMnUzbjIyV2ZwMDZjUGp6NzY2Q1g3UlVaRzBxUkpFMTNMM0xCaEE4SEJ3VlZWb2lFaUl5TUIyTHQzcjJHZldmaytTdzFUcDA0ZCt2ZnZ6K3paczRtT2pxWng0OGFYN0x0cDB5WUNBZ0lvTFMzbGlTZWU0TTAzMzZSVHAwNCtyTmEvU0ZocW9KMDdkeElVRk1TS0ZTc1lQWHIwWmZ0R1JVWGhkRG9wS0NqZzJXZWZyVFM5YnQyNk1wYXBJaEtXR3ViQ2hRdHMzNzZkOTk5L24vSGp4ek55NUVoQ1FrSXUyWC8xNnRVOC9QRERyRjY5bXV1dnY1N2p4NDl6N2JYWCtyQmkveUVEL0JvbUtTbUp5TWhJTEJZTGYvclRuMGhNVEx4a1gwM1RtRFZyRnYzNzkrZjY2NjhIWVBEZ3diaGNMaDlWNjE5a3pWS0RuRDE3bHNURVJPYk1tUVBBTTg4OHcvRGh3eGswYUJEdDJyWHo5Q3N1THFaT25UclVxVk9INU9Sa1FrSkNXTDkrdldkNlZGU1U1L0Vycjd4QzM3NTlmZmNpYWpFSlN3MmhsT0tOTjk3Z3pqdnZwR3ZYcmdCMDZOQ0JJVU9HTUhYcVZQN3hqMzlRcDA3WmhzQzVjK2M4ZThKK3V5Y3dNakxTTS9BWFZVdkNVa09VSHlQNStPT1B2ZHFmZSs0NUhuLzhjV2JNbU1HRUNSTUFPSHo0TU5kZWV5MlBQUElJNTg2ZHE3U3NmdjM2ZVQzZnRHbFQ5Ulh1UnlRc0JuTzVYTXlhTllzdnYveVNSWXNXVmRwVlhLOWVQYVpQbjg2VFR6NUpZV0VoRXlkTzVPdXZ2eVk4UEp3WFgzeXgwdklpSXlQWnNHR0RyRm1xZ1F6d0RUWm56aHkrK3VvckZpMWFkTWxqSkowNmRXTGV2SGw4KysyM3pKMDdseSsvL05KclhDSjhROVlzQnZ2TFgvN0NrMDgrZWNXajhUZmZmRE5KU1VuWWJEYk9uajFMZUhpNGp5b1U1ZVIwRnhOU1NxRnBwdjdWWGJXYWNMcUxiSWFaa0w4RnBhYVFzQWloazRSRkNKMGtMRUxvWlBhdzJLRHNtcmlpOXFyd3pWRkQ3OHBzNnJEODkzWUVaR2RuRzEyS3FFYW5UcDBDUUNsMTJNZzZUQjBXWUFsQVFrSUNHUmtaRkJVVlhhbS9NQkdielVaV1ZoWXpac3dvYjFwOXVmN1Z6ZXo3SUlNaUlpSlNOVTNyWTNRaG90cnRLaTB0N1oyZW5tNDNxZ0N6bjBEa3pzbkpXUlVhR21yVE5LMDEwQmdJTXJvb1VXVktsRktIZ1BsMnUvMUpJNE1paEJCQ0NDR0VFRUlJSVlRUVFnZ2hoQkJDQ0NHRUVFSUlJWVFRUWdnaGhCQkNDQ0dFRUVJSUlZUVFRZ2doaEJCQ0NDR0VFRUlJSVlRUVFnZ2hUT24vQXhTaWZKZklYOHp2QUFBQUFFbEZUa1N1UW1DQyIsCgkiVGhlbWUiIDogIiIsCgkiVHlwZSIgOiAiZmxvdyIsCgkiVmVyc2lvbiIgOiAiOS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75</Pages>
  <Words>9419</Words>
  <Characters>53689</Characters>
  <Lines>447</Lines>
  <Paragraphs>125</Paragraphs>
  <TotalTime>6</TotalTime>
  <ScaleCrop>false</ScaleCrop>
  <LinksUpToDate>false</LinksUpToDate>
  <CharactersWithSpaces>62983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2023-11-06T11:48:00Z</dcterms:created>
  <dcterms:modified xsi:type="dcterms:W3CDTF">2023-11-09T00:53:54Z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D01C7DE3F30D4A4C9911DB22814C0048_13</vt:lpwstr>
  </property>
</Properties>
</file>